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6E268" w14:textId="6C8585EE" w:rsidR="002E22C3" w:rsidRDefault="002E22C3" w:rsidP="002E22C3">
      <w:pPr>
        <w:pStyle w:val="AppHeading1"/>
      </w:pPr>
      <w:r>
        <w:t>DCP Compliance Table</w:t>
      </w:r>
    </w:p>
    <w:p w14:paraId="596FEA22" w14:textId="00D6D155" w:rsidR="00F3393D" w:rsidRPr="000B6352" w:rsidRDefault="00F3393D" w:rsidP="000B6352">
      <w:pPr>
        <w:pStyle w:val="BodyText"/>
        <w:rPr>
          <w:lang w:eastAsia="en-US"/>
        </w:rPr>
      </w:pPr>
      <w:r>
        <w:rPr>
          <w:lang w:eastAsia="en-US"/>
        </w:rPr>
        <w:t>Note: The Table addresses those controls that are relevant to the application. The table should be read in conjunction with the DA and accompanying information and the Development Control Plan itself.</w:t>
      </w:r>
    </w:p>
    <w:tbl>
      <w:tblPr>
        <w:tblStyle w:val="GreenLinedTable"/>
        <w:tblW w:w="5000" w:type="pct"/>
        <w:tblLayout w:type="fixed"/>
        <w:tblLook w:val="0620" w:firstRow="1" w:lastRow="0" w:firstColumn="0" w:lastColumn="0" w:noHBand="1" w:noVBand="1"/>
      </w:tblPr>
      <w:tblGrid>
        <w:gridCol w:w="4536"/>
        <w:gridCol w:w="5103"/>
        <w:gridCol w:w="4931"/>
      </w:tblGrid>
      <w:tr w:rsidR="002E22C3" w14:paraId="6D17DB75" w14:textId="77777777" w:rsidTr="00D62A08">
        <w:trPr>
          <w:cnfStyle w:val="100000000000" w:firstRow="1" w:lastRow="0" w:firstColumn="0" w:lastColumn="0" w:oddVBand="0" w:evenVBand="0" w:oddHBand="0" w:evenHBand="0" w:firstRowFirstColumn="0" w:firstRowLastColumn="0" w:lastRowFirstColumn="0" w:lastRowLastColumn="0"/>
          <w:tblHeader/>
        </w:trPr>
        <w:tc>
          <w:tcPr>
            <w:tcW w:w="4536" w:type="dxa"/>
          </w:tcPr>
          <w:p w14:paraId="21B8A665" w14:textId="77777777" w:rsidR="002E22C3" w:rsidRDefault="002E22C3" w:rsidP="00D62A08">
            <w:pPr>
              <w:pStyle w:val="TableHeadingGrey"/>
            </w:pPr>
            <w:r>
              <w:t>Control</w:t>
            </w:r>
          </w:p>
        </w:tc>
        <w:tc>
          <w:tcPr>
            <w:tcW w:w="5103" w:type="dxa"/>
          </w:tcPr>
          <w:p w14:paraId="43D438D9" w14:textId="3F55EA8D" w:rsidR="002E22C3" w:rsidRPr="00E2447B" w:rsidRDefault="00DE2D97" w:rsidP="00D62A08">
            <w:pPr>
              <w:pStyle w:val="TableHeadingGrey"/>
              <w:rPr>
                <w:color w:val="FF0000"/>
              </w:rPr>
            </w:pPr>
            <w:r>
              <w:t xml:space="preserve">Proponent </w:t>
            </w:r>
            <w:r w:rsidR="00CD4164" w:rsidRPr="007F7CCD">
              <w:t xml:space="preserve">Comment </w:t>
            </w:r>
            <w:r w:rsidR="005A52D4">
              <w:t>in SEE</w:t>
            </w:r>
          </w:p>
        </w:tc>
        <w:tc>
          <w:tcPr>
            <w:tcW w:w="4931" w:type="dxa"/>
          </w:tcPr>
          <w:p w14:paraId="3F95B399" w14:textId="77777777" w:rsidR="002E22C3" w:rsidRDefault="002E22C3" w:rsidP="00D62A08">
            <w:pPr>
              <w:pStyle w:val="TableHeadingGrey"/>
            </w:pPr>
            <w:r>
              <w:t>Compliance</w:t>
            </w:r>
          </w:p>
        </w:tc>
      </w:tr>
      <w:tr w:rsidR="002E22C3" w14:paraId="235B54A6" w14:textId="77777777" w:rsidTr="0068355C">
        <w:tc>
          <w:tcPr>
            <w:tcW w:w="14570" w:type="dxa"/>
            <w:gridSpan w:val="3"/>
            <w:shd w:val="clear" w:color="auto" w:fill="949496" w:themeFill="text2" w:themeFillTint="99"/>
          </w:tcPr>
          <w:p w14:paraId="474B0067" w14:textId="12938F97" w:rsidR="002E22C3" w:rsidRPr="00C41C2E" w:rsidRDefault="002E22C3" w:rsidP="00D62A08">
            <w:pPr>
              <w:pStyle w:val="TableText"/>
              <w:rPr>
                <w:b/>
                <w:bCs/>
              </w:rPr>
            </w:pPr>
            <w:r w:rsidRPr="00C41C2E">
              <w:rPr>
                <w:b/>
                <w:bCs/>
              </w:rPr>
              <w:t xml:space="preserve">Part </w:t>
            </w:r>
            <w:r w:rsidR="001E32B6">
              <w:rPr>
                <w:b/>
                <w:bCs/>
              </w:rPr>
              <w:t>2</w:t>
            </w:r>
            <w:r w:rsidRPr="00C41C2E">
              <w:rPr>
                <w:b/>
                <w:bCs/>
              </w:rPr>
              <w:t xml:space="preserve"> – </w:t>
            </w:r>
            <w:r w:rsidR="001E32B6">
              <w:rPr>
                <w:b/>
                <w:bCs/>
              </w:rPr>
              <w:t>All Zones</w:t>
            </w:r>
          </w:p>
        </w:tc>
      </w:tr>
      <w:tr w:rsidR="002E22C3" w14:paraId="69A3AB13" w14:textId="77777777" w:rsidTr="0068355C">
        <w:tc>
          <w:tcPr>
            <w:tcW w:w="14570" w:type="dxa"/>
            <w:gridSpan w:val="3"/>
            <w:shd w:val="clear" w:color="auto" w:fill="B7B7B9" w:themeFill="text2" w:themeFillTint="66"/>
          </w:tcPr>
          <w:p w14:paraId="01CB26FF" w14:textId="74E6DC47" w:rsidR="002E22C3" w:rsidRPr="00C41C2E" w:rsidRDefault="001E32B6" w:rsidP="00D62A08">
            <w:pPr>
              <w:pStyle w:val="TableText"/>
              <w:rPr>
                <w:b/>
                <w:bCs/>
              </w:rPr>
            </w:pPr>
            <w:r>
              <w:rPr>
                <w:b/>
                <w:bCs/>
              </w:rPr>
              <w:t>2.2</w:t>
            </w:r>
            <w:r w:rsidR="002E22C3" w:rsidRPr="00C41C2E">
              <w:rPr>
                <w:b/>
                <w:bCs/>
              </w:rPr>
              <w:t xml:space="preserve"> – </w:t>
            </w:r>
            <w:r>
              <w:rPr>
                <w:b/>
                <w:bCs/>
              </w:rPr>
              <w:t>Car Parking</w:t>
            </w:r>
            <w:r w:rsidR="00F3393D">
              <w:rPr>
                <w:b/>
                <w:bCs/>
              </w:rPr>
              <w:t xml:space="preserve"> – Complies and is addressed in the Assessment Report</w:t>
            </w:r>
          </w:p>
        </w:tc>
      </w:tr>
      <w:tr w:rsidR="002E22C3" w14:paraId="39AB33E7" w14:textId="77777777" w:rsidTr="001C4E03">
        <w:tc>
          <w:tcPr>
            <w:tcW w:w="14570" w:type="dxa"/>
            <w:gridSpan w:val="3"/>
            <w:shd w:val="clear" w:color="auto" w:fill="DBDBDC" w:themeFill="text2" w:themeFillTint="33"/>
          </w:tcPr>
          <w:p w14:paraId="0D84C5F6" w14:textId="5E78FAC0" w:rsidR="002E22C3" w:rsidRPr="00C41C2E" w:rsidRDefault="002602D2" w:rsidP="00D62A08">
            <w:pPr>
              <w:pStyle w:val="TableText"/>
              <w:rPr>
                <w:b/>
                <w:bCs/>
              </w:rPr>
            </w:pPr>
            <w:r>
              <w:rPr>
                <w:b/>
                <w:bCs/>
                <w:sz w:val="22"/>
              </w:rPr>
              <w:t xml:space="preserve">2.2.6 - Controls for Car Parking </w:t>
            </w:r>
          </w:p>
        </w:tc>
      </w:tr>
      <w:tr w:rsidR="002602D2" w14:paraId="6E9C9025" w14:textId="77777777" w:rsidTr="002602D2">
        <w:tc>
          <w:tcPr>
            <w:tcW w:w="4536" w:type="dxa"/>
            <w:shd w:val="clear" w:color="auto" w:fill="auto"/>
          </w:tcPr>
          <w:p w14:paraId="6DCF1701" w14:textId="3A968F93" w:rsidR="002602D2" w:rsidRPr="002602D2" w:rsidRDefault="002602D2" w:rsidP="00A30E20">
            <w:pPr>
              <w:pStyle w:val="TableAlpha"/>
              <w:numPr>
                <w:ilvl w:val="0"/>
                <w:numId w:val="21"/>
              </w:numPr>
            </w:pPr>
            <w:r>
              <w:t>Car parking is to be provided for all development in accordance with Table 1. An assessment will be undertaken of development types that are not explicitly listed.</w:t>
            </w:r>
          </w:p>
        </w:tc>
        <w:tc>
          <w:tcPr>
            <w:tcW w:w="5103" w:type="dxa"/>
            <w:shd w:val="clear" w:color="auto" w:fill="auto"/>
          </w:tcPr>
          <w:p w14:paraId="3CB27B46" w14:textId="72954D0D" w:rsidR="00DE2D97" w:rsidRPr="00DE2D97" w:rsidRDefault="00DE2D97" w:rsidP="00DE2D97">
            <w:pPr>
              <w:pStyle w:val="TableText"/>
            </w:pPr>
            <w:r>
              <w:t xml:space="preserve">Refer to consultant reports for parking at </w:t>
            </w:r>
            <w:r>
              <w:rPr>
                <w:b/>
                <w:bCs/>
              </w:rPr>
              <w:t xml:space="preserve">Appendix E. </w:t>
            </w:r>
          </w:p>
        </w:tc>
        <w:tc>
          <w:tcPr>
            <w:tcW w:w="4931" w:type="dxa"/>
            <w:shd w:val="clear" w:color="auto" w:fill="auto"/>
          </w:tcPr>
          <w:p w14:paraId="24464F91" w14:textId="49ADAD18" w:rsidR="00716395" w:rsidRDefault="00716395" w:rsidP="00DE2D97">
            <w:pPr>
              <w:pStyle w:val="TableText"/>
            </w:pPr>
            <w:r w:rsidRPr="00EC1CCE">
              <w:rPr>
                <w:b/>
                <w:bCs/>
              </w:rPr>
              <w:t>Complies.</w:t>
            </w:r>
            <w:r>
              <w:t xml:space="preserve"> </w:t>
            </w:r>
          </w:p>
          <w:p w14:paraId="3FA8D9C0" w14:textId="4E4651C9" w:rsidR="00C90D1D" w:rsidRDefault="00C90D1D" w:rsidP="00C90D1D">
            <w:pPr>
              <w:pStyle w:val="TableText"/>
              <w:rPr>
                <w:u w:val="single"/>
              </w:rPr>
            </w:pPr>
            <w:r>
              <w:rPr>
                <w:u w:val="single"/>
              </w:rPr>
              <w:t>The car parking associated with the original DA documentation has been updated and clarified through the Traffic Report dated 26 June 2020 and prepared by Taylor Thompson Whittling (refer also section 5.1.2 Traffic and parking).</w:t>
            </w:r>
          </w:p>
          <w:p w14:paraId="4BB67FC1" w14:textId="77777777" w:rsidR="00C90D1D" w:rsidRPr="00684759" w:rsidRDefault="00C90D1D" w:rsidP="00C90D1D">
            <w:pPr>
              <w:pStyle w:val="TableText"/>
              <w:rPr>
                <w:u w:val="single"/>
              </w:rPr>
            </w:pPr>
            <w:r>
              <w:rPr>
                <w:u w:val="single"/>
              </w:rPr>
              <w:t xml:space="preserve">Based on the characterisation of land uses in the QDCP being a public administration building and community facilities, the development generates demand for 70 additional car parking spaces.  The proposal will result in the provision of 161 spaces including basement parking for 108 vehicles and car parking that will be reinstated in the Lowe Street Car Park and additional parking provided at basement level in the building. </w:t>
            </w:r>
            <w:r w:rsidRPr="00684759">
              <w:rPr>
                <w:u w:val="single"/>
              </w:rPr>
              <w:t>Bicycle Parking</w:t>
            </w:r>
          </w:p>
          <w:p w14:paraId="334FE342" w14:textId="77777777" w:rsidR="00C90D1D" w:rsidRDefault="00C90D1D" w:rsidP="00C90D1D">
            <w:pPr>
              <w:pStyle w:val="TableText"/>
            </w:pPr>
            <w:r>
              <w:t>The proposed development demonstrates a commitment to reducing car dependency and includes a bike storage area with capacity for 68 bicycles. End of trip facilities are also provided to encourage ridership.</w:t>
            </w:r>
          </w:p>
          <w:p w14:paraId="1F8C90D2" w14:textId="6DEF13AF" w:rsidR="001E2937" w:rsidRPr="001E2937" w:rsidRDefault="00C90D1D" w:rsidP="00C90D1D">
            <w:pPr>
              <w:pStyle w:val="TableText"/>
            </w:pPr>
            <w:r>
              <w:t xml:space="preserve">The development generates the need for an additional 67 car parking spaces.  The proposal will deliver a total of 75 spaces which is 8 more than required in the QDCP.  The operation of the </w:t>
            </w:r>
            <w:r>
              <w:lastRenderedPageBreak/>
              <w:t>community aspect of the development will include the use of the facility outside the peak demand period 9am-5pm Monday to Friday and 9am to 1pm Saturday for typical parking in the CBD.  A combination of the parking proposed in addition to the public parking that is already available in the vicinity of the development is considered more than adequate.</w:t>
            </w:r>
          </w:p>
        </w:tc>
      </w:tr>
      <w:tr w:rsidR="002E22C3" w14:paraId="7237596F" w14:textId="77777777" w:rsidTr="001C4E03">
        <w:tc>
          <w:tcPr>
            <w:tcW w:w="14570" w:type="dxa"/>
            <w:gridSpan w:val="3"/>
            <w:shd w:val="clear" w:color="auto" w:fill="DBDBDC" w:themeFill="text2" w:themeFillTint="33"/>
          </w:tcPr>
          <w:p w14:paraId="29F334A5" w14:textId="6B085ECD" w:rsidR="002E22C3" w:rsidRPr="00C41C2E" w:rsidRDefault="002602D2" w:rsidP="00D62A08">
            <w:pPr>
              <w:pStyle w:val="TableText"/>
              <w:rPr>
                <w:b/>
                <w:bCs/>
              </w:rPr>
            </w:pPr>
            <w:r>
              <w:rPr>
                <w:b/>
                <w:bCs/>
                <w:sz w:val="22"/>
              </w:rPr>
              <w:lastRenderedPageBreak/>
              <w:t>2.2.7 Basement Parking</w:t>
            </w:r>
          </w:p>
        </w:tc>
      </w:tr>
      <w:tr w:rsidR="00D97850" w14:paraId="541F9CBA" w14:textId="77777777" w:rsidTr="00D62A08">
        <w:tc>
          <w:tcPr>
            <w:tcW w:w="4536" w:type="dxa"/>
          </w:tcPr>
          <w:p w14:paraId="3B17896C" w14:textId="77777777" w:rsidR="00D97850" w:rsidRDefault="00D97850" w:rsidP="00B902DF">
            <w:pPr>
              <w:pStyle w:val="TableText"/>
            </w:pPr>
            <w:r>
              <w:t>Where Basement parking is provided the access ramp to the car parking area shall provide for either two way access or separate access ramps shall be provided for:</w:t>
            </w:r>
          </w:p>
          <w:p w14:paraId="10FFC037" w14:textId="77777777" w:rsidR="00D97850" w:rsidRDefault="00D97850" w:rsidP="00B902DF">
            <w:pPr>
              <w:pStyle w:val="TableText"/>
            </w:pPr>
            <w:r>
              <w:t>1) access into the basement car park and</w:t>
            </w:r>
          </w:p>
          <w:p w14:paraId="4E451397" w14:textId="3E7DB880" w:rsidR="00D97850" w:rsidRDefault="00D97850" w:rsidP="00B902DF">
            <w:pPr>
              <w:pStyle w:val="TableText"/>
            </w:pPr>
            <w:r>
              <w:t>2) exit from the basement car park</w:t>
            </w:r>
          </w:p>
        </w:tc>
        <w:tc>
          <w:tcPr>
            <w:tcW w:w="5103" w:type="dxa"/>
            <w:vMerge w:val="restart"/>
          </w:tcPr>
          <w:p w14:paraId="4ECF907D" w14:textId="5DE342C6" w:rsidR="00D97850" w:rsidRPr="00D94F7E" w:rsidRDefault="00D97850" w:rsidP="00D62A08">
            <w:pPr>
              <w:pStyle w:val="TableText"/>
            </w:pPr>
            <w:r>
              <w:t xml:space="preserve">Refer to consultant reports for parking at </w:t>
            </w:r>
            <w:r>
              <w:rPr>
                <w:b/>
                <w:bCs/>
              </w:rPr>
              <w:t>Appendix E.</w:t>
            </w:r>
          </w:p>
        </w:tc>
        <w:tc>
          <w:tcPr>
            <w:tcW w:w="4931" w:type="dxa"/>
            <w:shd w:val="clear" w:color="auto" w:fill="auto"/>
          </w:tcPr>
          <w:p w14:paraId="74CB40EE" w14:textId="77777777" w:rsidR="006B6EF9" w:rsidRPr="00EC1CCE" w:rsidRDefault="006B6EF9" w:rsidP="006B6EF9">
            <w:pPr>
              <w:pStyle w:val="TableText"/>
              <w:rPr>
                <w:b/>
                <w:bCs/>
              </w:rPr>
            </w:pPr>
            <w:r w:rsidRPr="00EC1CCE">
              <w:rPr>
                <w:b/>
                <w:bCs/>
              </w:rPr>
              <w:t>Complies.</w:t>
            </w:r>
          </w:p>
          <w:p w14:paraId="0DBE2F0C" w14:textId="087A8233" w:rsidR="00D141E1" w:rsidRDefault="00876617" w:rsidP="006B6EF9">
            <w:pPr>
              <w:pStyle w:val="TableText"/>
            </w:pPr>
            <w:r>
              <w:t xml:space="preserve">The proposed </w:t>
            </w:r>
            <w:r w:rsidR="00F837B1">
              <w:t xml:space="preserve">Basement Plan (DA-21-01) </w:t>
            </w:r>
            <w:r>
              <w:t xml:space="preserve">has a two way access ramp via Rutledge Street. </w:t>
            </w:r>
          </w:p>
        </w:tc>
      </w:tr>
      <w:tr w:rsidR="00D97850" w14:paraId="669A8CC5" w14:textId="77777777" w:rsidTr="00D62A08">
        <w:tc>
          <w:tcPr>
            <w:tcW w:w="4536" w:type="dxa"/>
          </w:tcPr>
          <w:p w14:paraId="5BCC5C57" w14:textId="6C28AF1C" w:rsidR="00D97850" w:rsidRDefault="00D97850" w:rsidP="00D62A08">
            <w:pPr>
              <w:pStyle w:val="TableText"/>
            </w:pPr>
            <w:r w:rsidRPr="00B902DF">
              <w:t>Basement parking areas are to be located directly under building footprints to maximise opportunities for deep soil areas unless the structure can be designed to support mature plants and deep root plants</w:t>
            </w:r>
          </w:p>
        </w:tc>
        <w:tc>
          <w:tcPr>
            <w:tcW w:w="5103" w:type="dxa"/>
            <w:vMerge/>
          </w:tcPr>
          <w:p w14:paraId="49FF6E77" w14:textId="77777777" w:rsidR="00D97850" w:rsidRDefault="00D97850" w:rsidP="00D62A08">
            <w:pPr>
              <w:pStyle w:val="TableText"/>
            </w:pPr>
          </w:p>
        </w:tc>
        <w:tc>
          <w:tcPr>
            <w:tcW w:w="4931" w:type="dxa"/>
          </w:tcPr>
          <w:p w14:paraId="3215A91D" w14:textId="5E5E8C0C" w:rsidR="00037BAD" w:rsidRPr="00EC1CCE" w:rsidRDefault="00037BAD" w:rsidP="00D62A08">
            <w:pPr>
              <w:pStyle w:val="TableText"/>
              <w:rPr>
                <w:b/>
                <w:bCs/>
              </w:rPr>
            </w:pPr>
            <w:r w:rsidRPr="00EC1CCE">
              <w:rPr>
                <w:b/>
                <w:bCs/>
              </w:rPr>
              <w:t xml:space="preserve">Complies. </w:t>
            </w:r>
          </w:p>
          <w:p w14:paraId="148D0599" w14:textId="2C64CCE8" w:rsidR="00037BAD" w:rsidRDefault="00D141E1" w:rsidP="00D62A08">
            <w:pPr>
              <w:pStyle w:val="TableText"/>
            </w:pPr>
            <w:r>
              <w:t xml:space="preserve">The proposed basement has lift access directly to the building above. </w:t>
            </w:r>
            <w:r w:rsidR="00037BAD">
              <w:t xml:space="preserve">Stairs are also provided linking the basement to the civic square above. </w:t>
            </w:r>
          </w:p>
          <w:p w14:paraId="3A5C261D" w14:textId="77777777" w:rsidR="00D97850" w:rsidRDefault="00D141E1" w:rsidP="00D62A08">
            <w:pPr>
              <w:pStyle w:val="TableText"/>
            </w:pPr>
            <w:r>
              <w:t>The basement extends eastwards beyond the footprint of the building and underneath the proposed civic square.</w:t>
            </w:r>
          </w:p>
          <w:p w14:paraId="42DE561E" w14:textId="4A514F87" w:rsidR="00037BAD" w:rsidRDefault="00037BAD" w:rsidP="00037BAD">
            <w:pPr>
              <w:pStyle w:val="TableText"/>
            </w:pPr>
            <w:r>
              <w:t>Two large trees are proposed on the northeast corner of the civic square, outside the footprint of the basement below. Smaller trees are proposed around along the western and southern edges of the civic square, and will have a root zone above the basement.</w:t>
            </w:r>
          </w:p>
        </w:tc>
      </w:tr>
      <w:tr w:rsidR="00D97850" w14:paraId="34724F17" w14:textId="77777777" w:rsidTr="00D62A08">
        <w:tc>
          <w:tcPr>
            <w:tcW w:w="4536" w:type="dxa"/>
          </w:tcPr>
          <w:p w14:paraId="70FA430A" w14:textId="494E8067" w:rsidR="00D97850" w:rsidRPr="00B902DF" w:rsidRDefault="00D97850" w:rsidP="00D62A08">
            <w:pPr>
              <w:pStyle w:val="TableText"/>
            </w:pPr>
            <w:r w:rsidRPr="00B902DF">
              <w:t>Along active frontages, basement parking must be located fully below the level of the footpath.</w:t>
            </w:r>
          </w:p>
        </w:tc>
        <w:tc>
          <w:tcPr>
            <w:tcW w:w="5103" w:type="dxa"/>
            <w:vMerge/>
          </w:tcPr>
          <w:p w14:paraId="4BEABE09" w14:textId="77777777" w:rsidR="00D97850" w:rsidRDefault="00D97850" w:rsidP="00D62A08">
            <w:pPr>
              <w:pStyle w:val="TableText"/>
            </w:pPr>
          </w:p>
        </w:tc>
        <w:tc>
          <w:tcPr>
            <w:tcW w:w="4931" w:type="dxa"/>
          </w:tcPr>
          <w:p w14:paraId="7BAA5661" w14:textId="77777777" w:rsidR="00D97850" w:rsidRPr="00EC1CCE" w:rsidRDefault="00D141E1" w:rsidP="00D62A08">
            <w:pPr>
              <w:pStyle w:val="TableText"/>
              <w:rPr>
                <w:b/>
                <w:bCs/>
              </w:rPr>
            </w:pPr>
            <w:r w:rsidRPr="00EC1CCE">
              <w:rPr>
                <w:b/>
                <w:bCs/>
              </w:rPr>
              <w:t xml:space="preserve">Complies. </w:t>
            </w:r>
          </w:p>
          <w:p w14:paraId="07892C3A" w14:textId="34B032FD" w:rsidR="00D141E1" w:rsidRDefault="00D141E1" w:rsidP="00D62A08">
            <w:pPr>
              <w:pStyle w:val="TableText"/>
            </w:pPr>
            <w:r>
              <w:t>Basement is fully below the level of the footpath along the active frontage zone of Crawford Street.</w:t>
            </w:r>
          </w:p>
        </w:tc>
      </w:tr>
      <w:tr w:rsidR="00D97850" w14:paraId="53D8E9CE" w14:textId="77777777" w:rsidTr="00D62A08">
        <w:tc>
          <w:tcPr>
            <w:tcW w:w="4536" w:type="dxa"/>
          </w:tcPr>
          <w:p w14:paraId="65A97004" w14:textId="382E7E82" w:rsidR="00D97850" w:rsidRPr="00B902DF" w:rsidRDefault="00D97850" w:rsidP="00D62A08">
            <w:pPr>
              <w:pStyle w:val="TableText"/>
            </w:pPr>
            <w:r w:rsidRPr="00B902DF">
              <w:lastRenderedPageBreak/>
              <w:t>Basement parking should be contained wholly beneath the ground level along public streets. Where this cannot be achieved due to topography, the parking level must protrude no more than 1.2 m above ground level.</w:t>
            </w:r>
          </w:p>
        </w:tc>
        <w:tc>
          <w:tcPr>
            <w:tcW w:w="5103" w:type="dxa"/>
            <w:vMerge/>
          </w:tcPr>
          <w:p w14:paraId="303B416A" w14:textId="77777777" w:rsidR="00D97850" w:rsidRDefault="00D97850" w:rsidP="00D62A08">
            <w:pPr>
              <w:pStyle w:val="TableText"/>
            </w:pPr>
          </w:p>
        </w:tc>
        <w:tc>
          <w:tcPr>
            <w:tcW w:w="4931" w:type="dxa"/>
          </w:tcPr>
          <w:p w14:paraId="36CF6338" w14:textId="77777777" w:rsidR="00D97850" w:rsidRPr="00EC1CCE" w:rsidRDefault="00876617" w:rsidP="00D62A08">
            <w:pPr>
              <w:pStyle w:val="TableText"/>
              <w:rPr>
                <w:b/>
                <w:bCs/>
              </w:rPr>
            </w:pPr>
            <w:r w:rsidRPr="00EC1CCE">
              <w:rPr>
                <w:b/>
                <w:bCs/>
              </w:rPr>
              <w:t>Complies.</w:t>
            </w:r>
          </w:p>
          <w:p w14:paraId="6C4951ED" w14:textId="1DA84EA2" w:rsidR="00876617" w:rsidRDefault="00876617" w:rsidP="00D62A08">
            <w:pPr>
              <w:pStyle w:val="TableText"/>
            </w:pPr>
            <w:r>
              <w:t>Basement level is located completely below ground level.</w:t>
            </w:r>
          </w:p>
        </w:tc>
      </w:tr>
      <w:tr w:rsidR="00D97850" w14:paraId="5A4FCBD1" w14:textId="77777777" w:rsidTr="00D62A08">
        <w:tc>
          <w:tcPr>
            <w:tcW w:w="4536" w:type="dxa"/>
          </w:tcPr>
          <w:p w14:paraId="78ECFDB7" w14:textId="1ED1E879" w:rsidR="00D97850" w:rsidRPr="00B902DF" w:rsidRDefault="00D97850" w:rsidP="00D62A08">
            <w:pPr>
              <w:pStyle w:val="TableText"/>
            </w:pPr>
            <w:r w:rsidRPr="00B902DF">
              <w:t>Underground car parking shall be naturally ventilated where possible and shall be less than 1m above existing ground level. Ventilation grills or screening devices of car park openings are to be integrated into the overall façade and landscape design of the development.</w:t>
            </w:r>
          </w:p>
        </w:tc>
        <w:tc>
          <w:tcPr>
            <w:tcW w:w="5103" w:type="dxa"/>
            <w:vMerge/>
          </w:tcPr>
          <w:p w14:paraId="36CE5B4E" w14:textId="77777777" w:rsidR="00D97850" w:rsidRDefault="00D97850" w:rsidP="00D62A08">
            <w:pPr>
              <w:pStyle w:val="TableText"/>
            </w:pPr>
          </w:p>
        </w:tc>
        <w:tc>
          <w:tcPr>
            <w:tcW w:w="4931" w:type="dxa"/>
          </w:tcPr>
          <w:p w14:paraId="3782FAED" w14:textId="530BD617" w:rsidR="00D97850" w:rsidRPr="00EC1CCE" w:rsidRDefault="003F4279" w:rsidP="00D62A08">
            <w:pPr>
              <w:pStyle w:val="TableText"/>
              <w:rPr>
                <w:b/>
                <w:bCs/>
              </w:rPr>
            </w:pPr>
            <w:r w:rsidRPr="00EC1CCE">
              <w:rPr>
                <w:b/>
                <w:bCs/>
              </w:rPr>
              <w:t>Complies</w:t>
            </w:r>
            <w:r w:rsidR="00EC1CCE" w:rsidRPr="00EC1CCE">
              <w:rPr>
                <w:b/>
                <w:bCs/>
              </w:rPr>
              <w:t>.</w:t>
            </w:r>
          </w:p>
          <w:p w14:paraId="736E05E1" w14:textId="77777777" w:rsidR="003F4279" w:rsidRDefault="003F4279" w:rsidP="00D62A08">
            <w:pPr>
              <w:pStyle w:val="TableText"/>
            </w:pPr>
            <w:r>
              <w:t xml:space="preserve">Basement level is located completely below ground level. </w:t>
            </w:r>
          </w:p>
          <w:p w14:paraId="259182B3" w14:textId="19005E8A" w:rsidR="003F4279" w:rsidRDefault="003F4279" w:rsidP="00D62A08">
            <w:pPr>
              <w:pStyle w:val="TableText"/>
            </w:pPr>
            <w:r>
              <w:t xml:space="preserve">Mechanical ventilation is provided. </w:t>
            </w:r>
          </w:p>
        </w:tc>
      </w:tr>
      <w:tr w:rsidR="00D97850" w14:paraId="3F92F52F" w14:textId="77777777" w:rsidTr="00D62A08">
        <w:tc>
          <w:tcPr>
            <w:tcW w:w="4536" w:type="dxa"/>
          </w:tcPr>
          <w:p w14:paraId="370660CB" w14:textId="0708EF39" w:rsidR="00D97850" w:rsidRPr="00B902DF" w:rsidRDefault="00D97850" w:rsidP="00D62A08">
            <w:pPr>
              <w:pStyle w:val="TableText"/>
            </w:pPr>
            <w:r w:rsidRPr="00B902DF">
              <w:t>Constructed to preclude entry of floodwater at the Flood Planning Level. Additional requirement for basement levels to implement a failsafe means of evacuation, and a pump-out system to remove flood waters.</w:t>
            </w:r>
          </w:p>
        </w:tc>
        <w:tc>
          <w:tcPr>
            <w:tcW w:w="5103" w:type="dxa"/>
            <w:vMerge/>
          </w:tcPr>
          <w:p w14:paraId="0ABC2E21" w14:textId="77777777" w:rsidR="00D97850" w:rsidRDefault="00D97850" w:rsidP="00D62A08">
            <w:pPr>
              <w:pStyle w:val="TableText"/>
            </w:pPr>
          </w:p>
        </w:tc>
        <w:tc>
          <w:tcPr>
            <w:tcW w:w="4931" w:type="dxa"/>
          </w:tcPr>
          <w:p w14:paraId="728BC8BC" w14:textId="77777777" w:rsidR="00D97850" w:rsidRPr="00EC1CCE" w:rsidRDefault="00DD56F3" w:rsidP="00D62A08">
            <w:pPr>
              <w:pStyle w:val="TableText"/>
              <w:rPr>
                <w:b/>
                <w:bCs/>
              </w:rPr>
            </w:pPr>
            <w:r w:rsidRPr="00EC1CCE">
              <w:rPr>
                <w:b/>
                <w:bCs/>
              </w:rPr>
              <w:t>Complies.</w:t>
            </w:r>
          </w:p>
          <w:p w14:paraId="70426E6B" w14:textId="639B5BAB" w:rsidR="00DD56F3" w:rsidRDefault="00DD56F3" w:rsidP="00D62A08">
            <w:pPr>
              <w:pStyle w:val="TableText"/>
            </w:pPr>
            <w:r>
              <w:t xml:space="preserve">Exemption provided from Council to permit basement below the floor planning level. A floodgate is proposed to minimise flood water entering the basement during a flood event. </w:t>
            </w:r>
          </w:p>
        </w:tc>
      </w:tr>
      <w:tr w:rsidR="00D97850" w14:paraId="1A6D6CEF" w14:textId="77777777" w:rsidTr="00D62A08">
        <w:tc>
          <w:tcPr>
            <w:tcW w:w="4536" w:type="dxa"/>
          </w:tcPr>
          <w:p w14:paraId="5568397D" w14:textId="0AC579C4" w:rsidR="00D97850" w:rsidRPr="00B902DF" w:rsidRDefault="00D97850" w:rsidP="00D62A08">
            <w:pPr>
              <w:pStyle w:val="TableText"/>
            </w:pPr>
            <w:r w:rsidRPr="00B902DF">
              <w:t>All basement/underground car parks shall be designed to enter and leave the site in a forward direction.</w:t>
            </w:r>
          </w:p>
        </w:tc>
        <w:tc>
          <w:tcPr>
            <w:tcW w:w="5103" w:type="dxa"/>
            <w:vMerge/>
          </w:tcPr>
          <w:p w14:paraId="1A724229" w14:textId="77777777" w:rsidR="00D97850" w:rsidRDefault="00D97850" w:rsidP="00D62A08">
            <w:pPr>
              <w:pStyle w:val="TableText"/>
            </w:pPr>
          </w:p>
        </w:tc>
        <w:tc>
          <w:tcPr>
            <w:tcW w:w="4931" w:type="dxa"/>
          </w:tcPr>
          <w:p w14:paraId="7338FDA9" w14:textId="77777777" w:rsidR="00D97850" w:rsidRPr="00EC1CCE" w:rsidRDefault="00DD56F3" w:rsidP="00D62A08">
            <w:pPr>
              <w:pStyle w:val="TableText"/>
              <w:rPr>
                <w:b/>
                <w:bCs/>
              </w:rPr>
            </w:pPr>
            <w:r w:rsidRPr="00EC1CCE">
              <w:rPr>
                <w:b/>
                <w:bCs/>
              </w:rPr>
              <w:t>Complies.</w:t>
            </w:r>
          </w:p>
          <w:p w14:paraId="2C60D8E4" w14:textId="2672239C" w:rsidR="00DD56F3" w:rsidRDefault="00DD56F3" w:rsidP="00D62A08">
            <w:pPr>
              <w:pStyle w:val="TableText"/>
            </w:pPr>
            <w:r>
              <w:t xml:space="preserve">Vehicles can enter and exit the basement in a forward direction. </w:t>
            </w:r>
          </w:p>
        </w:tc>
      </w:tr>
      <w:tr w:rsidR="00D97850" w14:paraId="5735FDE1" w14:textId="77777777" w:rsidTr="00D62A08">
        <w:tc>
          <w:tcPr>
            <w:tcW w:w="4536" w:type="dxa"/>
          </w:tcPr>
          <w:p w14:paraId="43D217AF" w14:textId="49621FBF" w:rsidR="00D97850" w:rsidRPr="00B902DF" w:rsidRDefault="00D97850" w:rsidP="00D62A08">
            <w:pPr>
              <w:pStyle w:val="TableText"/>
            </w:pPr>
            <w:r w:rsidRPr="00B902DF">
              <w:t>All sites shall have underground car parking and be fitted with a security door. Basement garage doors shall not tilt/swing or open in an outward direction.</w:t>
            </w:r>
          </w:p>
        </w:tc>
        <w:tc>
          <w:tcPr>
            <w:tcW w:w="5103" w:type="dxa"/>
            <w:vMerge/>
          </w:tcPr>
          <w:p w14:paraId="6DE37B00" w14:textId="77777777" w:rsidR="00D97850" w:rsidRDefault="00D97850" w:rsidP="00D62A08">
            <w:pPr>
              <w:pStyle w:val="TableText"/>
            </w:pPr>
          </w:p>
        </w:tc>
        <w:tc>
          <w:tcPr>
            <w:tcW w:w="4931" w:type="dxa"/>
          </w:tcPr>
          <w:p w14:paraId="73D017F0" w14:textId="77777777" w:rsidR="00D97850" w:rsidRPr="00EC1CCE" w:rsidRDefault="00DD56F3" w:rsidP="00D62A08">
            <w:pPr>
              <w:pStyle w:val="TableText"/>
              <w:rPr>
                <w:b/>
                <w:bCs/>
              </w:rPr>
            </w:pPr>
            <w:r w:rsidRPr="00EC1CCE">
              <w:rPr>
                <w:b/>
                <w:bCs/>
              </w:rPr>
              <w:t>Complies.</w:t>
            </w:r>
          </w:p>
          <w:p w14:paraId="4AF29474" w14:textId="02A9E509" w:rsidR="00DD56F3" w:rsidRDefault="00DD56F3" w:rsidP="00D62A08">
            <w:pPr>
              <w:pStyle w:val="TableText"/>
            </w:pPr>
            <w:r>
              <w:t xml:space="preserve">Boom gates are proposed for the basement entry. </w:t>
            </w:r>
          </w:p>
        </w:tc>
      </w:tr>
      <w:tr w:rsidR="002E22C3" w14:paraId="63EC6CCF" w14:textId="77777777" w:rsidTr="001C4E03">
        <w:tc>
          <w:tcPr>
            <w:tcW w:w="14570" w:type="dxa"/>
            <w:gridSpan w:val="3"/>
            <w:shd w:val="clear" w:color="auto" w:fill="DBDBDC" w:themeFill="text2" w:themeFillTint="33"/>
          </w:tcPr>
          <w:p w14:paraId="52175388" w14:textId="6CAED2F9" w:rsidR="002E22C3" w:rsidRPr="00C41C2E" w:rsidRDefault="00B902DF" w:rsidP="00D62A08">
            <w:pPr>
              <w:pStyle w:val="TableText"/>
              <w:rPr>
                <w:b/>
                <w:bCs/>
              </w:rPr>
            </w:pPr>
            <w:r>
              <w:rPr>
                <w:b/>
                <w:bCs/>
                <w:sz w:val="22"/>
              </w:rPr>
              <w:t>2.2.8 Design of Service Vehicle Areas</w:t>
            </w:r>
          </w:p>
        </w:tc>
      </w:tr>
      <w:tr w:rsidR="00C90D1D" w14:paraId="6A4A6A36" w14:textId="77777777" w:rsidTr="00D62A08">
        <w:tc>
          <w:tcPr>
            <w:tcW w:w="4536" w:type="dxa"/>
          </w:tcPr>
          <w:p w14:paraId="00172A54" w14:textId="7BB093DE" w:rsidR="00C90D1D" w:rsidRDefault="00C90D1D" w:rsidP="00A30E20">
            <w:pPr>
              <w:pStyle w:val="TableAlpha"/>
              <w:numPr>
                <w:ilvl w:val="0"/>
                <w:numId w:val="22"/>
              </w:numPr>
            </w:pPr>
            <w:r>
              <w:t>Service vehicle areas are to be designed in accordance with the principles and requirements of the Australian Standards - Parking Facilities (AS2890 Series).</w:t>
            </w:r>
          </w:p>
        </w:tc>
        <w:tc>
          <w:tcPr>
            <w:tcW w:w="5103" w:type="dxa"/>
            <w:vMerge w:val="restart"/>
          </w:tcPr>
          <w:p w14:paraId="413E164F" w14:textId="3E5ADDB0" w:rsidR="00C90D1D" w:rsidRDefault="00C90D1D" w:rsidP="00500013">
            <w:pPr>
              <w:pStyle w:val="TableText"/>
            </w:pPr>
            <w:r>
              <w:t xml:space="preserve">From the SEE: The tenants require the basement to be secured, public access for delivery vehicles cannot be provided. As an alternative, one loading bay is to be provided in the adjoining car park to the north of the building and one loading bay is to be provided adjacent to the waste collection area. </w:t>
            </w:r>
          </w:p>
          <w:p w14:paraId="35818B6C" w14:textId="1E905EF2" w:rsidR="00C90D1D" w:rsidRDefault="00C90D1D" w:rsidP="00500013">
            <w:pPr>
              <w:pStyle w:val="TableText"/>
            </w:pPr>
            <w:r>
              <w:lastRenderedPageBreak/>
              <w:t xml:space="preserve">From the Traffic and Parking Assessment: 4 parking spaces, available in the service lane access off Crawford Street. </w:t>
            </w:r>
          </w:p>
        </w:tc>
        <w:tc>
          <w:tcPr>
            <w:tcW w:w="4931" w:type="dxa"/>
            <w:vMerge w:val="restart"/>
          </w:tcPr>
          <w:p w14:paraId="7431B921" w14:textId="5B2FF2AF" w:rsidR="00C90D1D" w:rsidRDefault="00C90D1D" w:rsidP="007F38E7">
            <w:pPr>
              <w:pStyle w:val="TableText"/>
            </w:pPr>
          </w:p>
          <w:p w14:paraId="4CC6E2D8" w14:textId="38DA8AF3" w:rsidR="00C90D1D" w:rsidRPr="000B6352" w:rsidRDefault="00C90D1D" w:rsidP="007F38E7">
            <w:pPr>
              <w:pStyle w:val="TableText"/>
              <w:rPr>
                <w:b/>
              </w:rPr>
            </w:pPr>
            <w:r w:rsidRPr="00C90D1D">
              <w:rPr>
                <w:b/>
              </w:rPr>
              <w:t>Crawford Street to be On</w:t>
            </w:r>
            <w:r w:rsidRPr="000B6352">
              <w:rPr>
                <w:b/>
              </w:rPr>
              <w:t>e Way.</w:t>
            </w:r>
          </w:p>
          <w:p w14:paraId="32223A05" w14:textId="5E37BD78" w:rsidR="00C90D1D" w:rsidRDefault="00C90D1D" w:rsidP="007F38E7">
            <w:pPr>
              <w:pStyle w:val="TableText"/>
            </w:pPr>
            <w:r>
              <w:rPr>
                <w:b/>
                <w:bCs/>
              </w:rPr>
              <w:t xml:space="preserve">Compliance through consent </w:t>
            </w:r>
          </w:p>
          <w:p w14:paraId="0884D0C9" w14:textId="1C598338" w:rsidR="00C90D1D" w:rsidRDefault="00C90D1D" w:rsidP="00D62A08">
            <w:pPr>
              <w:pStyle w:val="TableText"/>
            </w:pPr>
          </w:p>
        </w:tc>
      </w:tr>
      <w:tr w:rsidR="00C90D1D" w14:paraId="37055418" w14:textId="77777777" w:rsidTr="00D62A08">
        <w:tc>
          <w:tcPr>
            <w:tcW w:w="4536" w:type="dxa"/>
          </w:tcPr>
          <w:p w14:paraId="43D9867D" w14:textId="00C0B371" w:rsidR="00C90D1D" w:rsidRDefault="00C90D1D" w:rsidP="00B902DF">
            <w:pPr>
              <w:pStyle w:val="TableAlpha"/>
            </w:pPr>
            <w:r>
              <w:t>In relation to service vehicle dimensions, these are to be designed to cater for the largest vehicle servicing the site in accordance with AS/NZS 2890.2 - 2002 Off-</w:t>
            </w:r>
            <w:r>
              <w:lastRenderedPageBreak/>
              <w:t>street commercial vehicles facilities. Service vehicle areas for commercial and industrial type development are to be designed so that vehicles using them can enter and leave the site in a forward direction. Service vehicle areas are to be generally provided on-site. Only in exceptional cases will Council consider alternative arrangements.</w:t>
            </w:r>
          </w:p>
        </w:tc>
        <w:tc>
          <w:tcPr>
            <w:tcW w:w="5103" w:type="dxa"/>
            <w:vMerge/>
          </w:tcPr>
          <w:p w14:paraId="0B094055" w14:textId="4BCD78A8" w:rsidR="00C90D1D" w:rsidRDefault="00C90D1D" w:rsidP="00D62A08">
            <w:pPr>
              <w:pStyle w:val="TableText"/>
            </w:pPr>
          </w:p>
        </w:tc>
        <w:tc>
          <w:tcPr>
            <w:tcW w:w="4931" w:type="dxa"/>
            <w:vMerge/>
          </w:tcPr>
          <w:p w14:paraId="76C67863" w14:textId="256BC2F0" w:rsidR="00C90D1D" w:rsidRDefault="00C90D1D" w:rsidP="00D62A08">
            <w:pPr>
              <w:pStyle w:val="TableText"/>
            </w:pPr>
          </w:p>
        </w:tc>
      </w:tr>
      <w:tr w:rsidR="002E22C3" w14:paraId="0A1C7268" w14:textId="77777777" w:rsidTr="001C4E03">
        <w:tc>
          <w:tcPr>
            <w:tcW w:w="14570" w:type="dxa"/>
            <w:gridSpan w:val="3"/>
            <w:shd w:val="clear" w:color="auto" w:fill="B7B7B9" w:themeFill="text2" w:themeFillTint="66"/>
          </w:tcPr>
          <w:p w14:paraId="2B703134" w14:textId="618A0A88" w:rsidR="002E22C3" w:rsidRPr="00FD3942" w:rsidRDefault="00B902DF" w:rsidP="00D62A08">
            <w:pPr>
              <w:pStyle w:val="TableText"/>
              <w:rPr>
                <w:b/>
                <w:bCs/>
              </w:rPr>
            </w:pPr>
            <w:r>
              <w:rPr>
                <w:b/>
                <w:bCs/>
                <w:sz w:val="22"/>
              </w:rPr>
              <w:t xml:space="preserve">2.2.9 Access Ways Associated with Car Parking Areas </w:t>
            </w:r>
          </w:p>
        </w:tc>
      </w:tr>
      <w:tr w:rsidR="002E22C3" w14:paraId="281FA0B7" w14:textId="77777777" w:rsidTr="001C4E03">
        <w:tc>
          <w:tcPr>
            <w:tcW w:w="14570" w:type="dxa"/>
            <w:gridSpan w:val="3"/>
            <w:shd w:val="clear" w:color="auto" w:fill="DBDBDC" w:themeFill="text2" w:themeFillTint="33"/>
          </w:tcPr>
          <w:p w14:paraId="005DC372" w14:textId="621EC083" w:rsidR="002E22C3" w:rsidRPr="00FD3942" w:rsidRDefault="00094E78" w:rsidP="00D62A08">
            <w:pPr>
              <w:pStyle w:val="TableText"/>
              <w:rPr>
                <w:b/>
                <w:bCs/>
              </w:rPr>
            </w:pPr>
            <w:r>
              <w:rPr>
                <w:b/>
                <w:bCs/>
                <w:sz w:val="22"/>
              </w:rPr>
              <w:t>2.2.9.1 Access Requirements</w:t>
            </w:r>
          </w:p>
        </w:tc>
      </w:tr>
      <w:tr w:rsidR="002E22C3" w14:paraId="67B33FE7" w14:textId="77777777" w:rsidTr="00D62A08">
        <w:tc>
          <w:tcPr>
            <w:tcW w:w="4536" w:type="dxa"/>
          </w:tcPr>
          <w:p w14:paraId="60655E14" w14:textId="70FD2F8D" w:rsidR="002E22C3" w:rsidRDefault="00094E78" w:rsidP="00D97850">
            <w:pPr>
              <w:pStyle w:val="TableAlpha"/>
              <w:numPr>
                <w:ilvl w:val="0"/>
                <w:numId w:val="73"/>
              </w:numPr>
            </w:pPr>
            <w:r w:rsidRPr="00094E78">
              <w:t>All developments require access from the frontage road to car parking and service facilities. While in some instances access driveways may be sufficient some developments will require a higher standard of traffic control, such as a controlled intersection via a dedicated public roadway, auxiliary lanes and/or right turn bays to maintain efficiency and safety. Refer to Section 6 of the RMS Guide to Traffic Generating Developments Version 2.2 (2002).</w:t>
            </w:r>
          </w:p>
        </w:tc>
        <w:tc>
          <w:tcPr>
            <w:tcW w:w="5103" w:type="dxa"/>
          </w:tcPr>
          <w:p w14:paraId="5EC63849" w14:textId="77777777" w:rsidR="00D97850" w:rsidRDefault="00D97850" w:rsidP="00500013">
            <w:pPr>
              <w:pStyle w:val="TableText"/>
            </w:pPr>
            <w:r>
              <w:t>Variation</w:t>
            </w:r>
          </w:p>
          <w:p w14:paraId="360E2390" w14:textId="5CAFC931" w:rsidR="00D97850" w:rsidRDefault="00D97850" w:rsidP="00500013">
            <w:pPr>
              <w:pStyle w:val="TableText"/>
            </w:pPr>
            <w:r>
              <w:t xml:space="preserve">Access provided from unnamed laneway/public car park. Reduces traffic from Crawford Street (Unclassified Road) as per I SEPP. </w:t>
            </w:r>
          </w:p>
          <w:p w14:paraId="2BD70613" w14:textId="206C698F" w:rsidR="002E22C3" w:rsidRDefault="002E22C3" w:rsidP="00D62A08">
            <w:pPr>
              <w:pStyle w:val="TableText"/>
            </w:pPr>
          </w:p>
        </w:tc>
        <w:tc>
          <w:tcPr>
            <w:tcW w:w="4931" w:type="dxa"/>
          </w:tcPr>
          <w:p w14:paraId="0D884BCE" w14:textId="77777777" w:rsidR="002E22C3" w:rsidRPr="00EC1CCE" w:rsidRDefault="00845296" w:rsidP="00D62A08">
            <w:pPr>
              <w:pStyle w:val="TableText"/>
              <w:rPr>
                <w:b/>
                <w:bCs/>
              </w:rPr>
            </w:pPr>
            <w:r w:rsidRPr="00EC1CCE">
              <w:rPr>
                <w:b/>
                <w:bCs/>
              </w:rPr>
              <w:t>Variation is considered appropriate.</w:t>
            </w:r>
          </w:p>
          <w:p w14:paraId="7310D473" w14:textId="3092E5A0" w:rsidR="00845296" w:rsidRPr="0068355C" w:rsidRDefault="00845296" w:rsidP="00D62A08">
            <w:pPr>
              <w:pStyle w:val="TableText"/>
              <w:rPr>
                <w:b/>
                <w:bCs/>
              </w:rPr>
            </w:pPr>
            <w:r w:rsidRPr="00845296">
              <w:t xml:space="preserve">Proposed site access is consistent with existing </w:t>
            </w:r>
            <w:r>
              <w:t xml:space="preserve">access </w:t>
            </w:r>
            <w:r w:rsidRPr="00845296">
              <w:t>arrangements</w:t>
            </w:r>
            <w:r>
              <w:t xml:space="preserve"> and allows for pedestrian </w:t>
            </w:r>
            <w:r w:rsidR="0069553B">
              <w:t>forecourt</w:t>
            </w:r>
            <w:r>
              <w:t xml:space="preserve"> and active frontage along Crawford Street.</w:t>
            </w:r>
          </w:p>
        </w:tc>
      </w:tr>
      <w:tr w:rsidR="002E22C3" w14:paraId="07C1CCC2" w14:textId="77777777" w:rsidTr="001C4E03">
        <w:tc>
          <w:tcPr>
            <w:tcW w:w="14570" w:type="dxa"/>
            <w:gridSpan w:val="3"/>
            <w:shd w:val="clear" w:color="auto" w:fill="DBDBDC" w:themeFill="text2" w:themeFillTint="33"/>
          </w:tcPr>
          <w:p w14:paraId="3F5700AD" w14:textId="26692A1A" w:rsidR="002E22C3" w:rsidRPr="00D81FC0" w:rsidRDefault="00074E77" w:rsidP="00D62A08">
            <w:pPr>
              <w:pStyle w:val="TableText"/>
              <w:rPr>
                <w:b/>
                <w:bCs/>
              </w:rPr>
            </w:pPr>
            <w:r>
              <w:rPr>
                <w:b/>
                <w:bCs/>
                <w:sz w:val="22"/>
              </w:rPr>
              <w:t>2.2.9.3 Sight Distance</w:t>
            </w:r>
          </w:p>
        </w:tc>
      </w:tr>
      <w:tr w:rsidR="00D56210" w14:paraId="6727AE7A" w14:textId="77777777" w:rsidTr="00D62A08">
        <w:tc>
          <w:tcPr>
            <w:tcW w:w="4536" w:type="dxa"/>
          </w:tcPr>
          <w:p w14:paraId="335C7946" w14:textId="42B57745" w:rsidR="00D56210" w:rsidRDefault="00D56210" w:rsidP="00A30E20">
            <w:pPr>
              <w:pStyle w:val="TableAlpha"/>
              <w:numPr>
                <w:ilvl w:val="0"/>
                <w:numId w:val="24"/>
              </w:numPr>
            </w:pPr>
            <w:r>
              <w:t>Ideally, the sight distance required is that which enables the driver of a vehicle waiting to leave a driveway to select a gap in the through traffic and to join the street without causing a major disruption. This is the desirable sight distance (Entering Sight Distance).</w:t>
            </w:r>
          </w:p>
        </w:tc>
        <w:tc>
          <w:tcPr>
            <w:tcW w:w="5103" w:type="dxa"/>
            <w:vMerge w:val="restart"/>
          </w:tcPr>
          <w:p w14:paraId="249F5C3E" w14:textId="77777777" w:rsidR="00D56210" w:rsidRDefault="00D56210" w:rsidP="00D62A08">
            <w:pPr>
              <w:pStyle w:val="TableText"/>
            </w:pPr>
            <w:r>
              <w:t>No statement provided.</w:t>
            </w:r>
          </w:p>
          <w:p w14:paraId="7DA5515C" w14:textId="47912909" w:rsidR="00D56210" w:rsidRDefault="00D56210" w:rsidP="00D62A08">
            <w:pPr>
              <w:pStyle w:val="TableText"/>
            </w:pPr>
          </w:p>
        </w:tc>
        <w:tc>
          <w:tcPr>
            <w:tcW w:w="4931" w:type="dxa"/>
          </w:tcPr>
          <w:p w14:paraId="6EDE7309" w14:textId="17A59412" w:rsidR="00D56210" w:rsidRPr="00EC1CCE" w:rsidRDefault="00D56210" w:rsidP="00D62A08">
            <w:pPr>
              <w:pStyle w:val="TableText"/>
              <w:rPr>
                <w:b/>
                <w:bCs/>
              </w:rPr>
            </w:pPr>
            <w:r w:rsidRPr="00EC1CCE">
              <w:rPr>
                <w:b/>
                <w:bCs/>
              </w:rPr>
              <w:t>Complies</w:t>
            </w:r>
          </w:p>
          <w:p w14:paraId="111B80C5" w14:textId="591368D6" w:rsidR="00D56210" w:rsidRDefault="00D56210" w:rsidP="00D62A08">
            <w:pPr>
              <w:pStyle w:val="TableText"/>
            </w:pPr>
            <w:r>
              <w:t xml:space="preserve">Driveways and public lanes have reasonable sightlines consistent with the low speed environment and surrounding street network. </w:t>
            </w:r>
          </w:p>
        </w:tc>
      </w:tr>
      <w:tr w:rsidR="00D56210" w14:paraId="110B9805" w14:textId="77777777" w:rsidTr="00D62A08">
        <w:tc>
          <w:tcPr>
            <w:tcW w:w="4536" w:type="dxa"/>
          </w:tcPr>
          <w:p w14:paraId="5B7F2EA6" w14:textId="1F63620E" w:rsidR="00D56210" w:rsidRDefault="00D56210" w:rsidP="00074E77">
            <w:pPr>
              <w:pStyle w:val="TableAlpha"/>
            </w:pPr>
            <w:r>
              <w:t>Driveways are to comply with AS/NZS 2890.1 - 2004: Off-street car parking.</w:t>
            </w:r>
          </w:p>
        </w:tc>
        <w:tc>
          <w:tcPr>
            <w:tcW w:w="5103" w:type="dxa"/>
            <w:vMerge/>
          </w:tcPr>
          <w:p w14:paraId="392D7E61" w14:textId="41CB0583" w:rsidR="00D56210" w:rsidRDefault="00D56210" w:rsidP="00D62A08">
            <w:pPr>
              <w:pStyle w:val="TableText"/>
            </w:pPr>
          </w:p>
        </w:tc>
        <w:tc>
          <w:tcPr>
            <w:tcW w:w="4931" w:type="dxa"/>
          </w:tcPr>
          <w:p w14:paraId="6A142B6A" w14:textId="28023111" w:rsidR="00D56210" w:rsidRPr="0054542C" w:rsidRDefault="00C90D1D" w:rsidP="0054542C">
            <w:pPr>
              <w:pStyle w:val="TableText"/>
              <w:rPr>
                <w:b/>
                <w:bCs/>
              </w:rPr>
            </w:pPr>
            <w:r>
              <w:rPr>
                <w:b/>
                <w:bCs/>
              </w:rPr>
              <w:t xml:space="preserve">Compliance through consent </w:t>
            </w:r>
          </w:p>
          <w:p w14:paraId="10CFDADA" w14:textId="77211138" w:rsidR="00D56210" w:rsidRDefault="00D56210" w:rsidP="00F837B1">
            <w:pPr>
              <w:pStyle w:val="TableText"/>
            </w:pPr>
          </w:p>
        </w:tc>
      </w:tr>
      <w:tr w:rsidR="002E22C3" w14:paraId="7C50F4A5" w14:textId="77777777" w:rsidTr="001C4E03">
        <w:tc>
          <w:tcPr>
            <w:tcW w:w="14570" w:type="dxa"/>
            <w:gridSpan w:val="3"/>
            <w:shd w:val="clear" w:color="auto" w:fill="DBDBDC" w:themeFill="text2" w:themeFillTint="33"/>
          </w:tcPr>
          <w:p w14:paraId="47D61E30" w14:textId="1B0709A1" w:rsidR="002E22C3" w:rsidRPr="00D81FC0" w:rsidRDefault="00074E77" w:rsidP="00D62A08">
            <w:pPr>
              <w:pStyle w:val="TableText"/>
              <w:rPr>
                <w:b/>
                <w:bCs/>
              </w:rPr>
            </w:pPr>
            <w:r>
              <w:rPr>
                <w:b/>
                <w:bCs/>
                <w:sz w:val="22"/>
              </w:rPr>
              <w:lastRenderedPageBreak/>
              <w:t>2.2.9.4 Proximity to Intersections</w:t>
            </w:r>
          </w:p>
        </w:tc>
      </w:tr>
      <w:tr w:rsidR="002E22C3" w14:paraId="28094A79" w14:textId="77777777" w:rsidTr="00D62A08">
        <w:tc>
          <w:tcPr>
            <w:tcW w:w="4536" w:type="dxa"/>
          </w:tcPr>
          <w:p w14:paraId="48C65CA5" w14:textId="3307514C" w:rsidR="002E22C3" w:rsidRDefault="00074E77" w:rsidP="00A30E20">
            <w:pPr>
              <w:pStyle w:val="TableAlpha"/>
              <w:numPr>
                <w:ilvl w:val="0"/>
                <w:numId w:val="25"/>
              </w:numPr>
            </w:pPr>
            <w:r w:rsidRPr="00074E77">
              <w:t>Refer to AS/NZS 2890: Off-street car parking for requirements on the positioning of driveways near intersections</w:t>
            </w:r>
          </w:p>
        </w:tc>
        <w:tc>
          <w:tcPr>
            <w:tcW w:w="5103" w:type="dxa"/>
          </w:tcPr>
          <w:p w14:paraId="23343CC0" w14:textId="77777777" w:rsidR="00EB63DD" w:rsidRDefault="00EB63DD" w:rsidP="00500013">
            <w:pPr>
              <w:pStyle w:val="TableText"/>
            </w:pPr>
            <w:r>
              <w:t xml:space="preserve">Pedestrian footpath has been placed on opposite side of laneway to reduce potential conflicts. </w:t>
            </w:r>
          </w:p>
          <w:p w14:paraId="7CDD05C5" w14:textId="71B8CE72" w:rsidR="002E22C3" w:rsidRDefault="002E22C3" w:rsidP="00D62A08">
            <w:pPr>
              <w:pStyle w:val="TableText"/>
            </w:pPr>
          </w:p>
        </w:tc>
        <w:tc>
          <w:tcPr>
            <w:tcW w:w="4931" w:type="dxa"/>
          </w:tcPr>
          <w:p w14:paraId="3D546FB1" w14:textId="77777777" w:rsidR="00CD4164" w:rsidRPr="00EC1CCE" w:rsidRDefault="00F837B1" w:rsidP="00D62A08">
            <w:pPr>
              <w:pStyle w:val="TableText"/>
              <w:rPr>
                <w:b/>
                <w:bCs/>
              </w:rPr>
            </w:pPr>
            <w:r w:rsidRPr="00EC1CCE">
              <w:rPr>
                <w:b/>
                <w:bCs/>
              </w:rPr>
              <w:t>Complies.</w:t>
            </w:r>
          </w:p>
          <w:p w14:paraId="3C69204F" w14:textId="413488AD" w:rsidR="00F837B1" w:rsidRDefault="00F837B1" w:rsidP="00D62A08">
            <w:pPr>
              <w:pStyle w:val="TableText"/>
            </w:pPr>
            <w:r>
              <w:t xml:space="preserve">Off-street parking is provided at the Lowe Street Car Park which is a surface car park. </w:t>
            </w:r>
          </w:p>
        </w:tc>
      </w:tr>
      <w:tr w:rsidR="00074E77" w14:paraId="613BD2AB" w14:textId="77777777" w:rsidTr="00074E77">
        <w:tc>
          <w:tcPr>
            <w:tcW w:w="14570" w:type="dxa"/>
            <w:gridSpan w:val="3"/>
            <w:shd w:val="clear" w:color="auto" w:fill="DBDBDC" w:themeFill="accent2" w:themeFillTint="33"/>
          </w:tcPr>
          <w:p w14:paraId="40AA52EB" w14:textId="23594819" w:rsidR="00074E77" w:rsidRDefault="00074E77" w:rsidP="00D62A08">
            <w:pPr>
              <w:pStyle w:val="TableText"/>
            </w:pPr>
            <w:r>
              <w:rPr>
                <w:b/>
                <w:bCs/>
                <w:sz w:val="22"/>
              </w:rPr>
              <w:t>2.2.9.5 Addressing Potential Conflicts</w:t>
            </w:r>
          </w:p>
        </w:tc>
      </w:tr>
      <w:tr w:rsidR="00074E77" w14:paraId="0F3E13C7" w14:textId="77777777" w:rsidTr="00D62A08">
        <w:tc>
          <w:tcPr>
            <w:tcW w:w="4536" w:type="dxa"/>
          </w:tcPr>
          <w:p w14:paraId="5104FFD3" w14:textId="77777777" w:rsidR="00074E77" w:rsidRDefault="00074E77" w:rsidP="00A30E20">
            <w:pPr>
              <w:pStyle w:val="TableAlpha"/>
              <w:numPr>
                <w:ilvl w:val="0"/>
                <w:numId w:val="26"/>
              </w:numPr>
            </w:pPr>
            <w:r>
              <w:t>Where possible, avoid positioning driveways with high traffic volumes in the following locations:</w:t>
            </w:r>
          </w:p>
          <w:p w14:paraId="47D712E0" w14:textId="0D9C6BFA" w:rsidR="00074E77" w:rsidRDefault="00074E77" w:rsidP="00074E77">
            <w:pPr>
              <w:pStyle w:val="TableAlpha2"/>
            </w:pPr>
            <w:r>
              <w:t>on major roads,</w:t>
            </w:r>
          </w:p>
          <w:p w14:paraId="20FBF152" w14:textId="2A2E460D" w:rsidR="00074E77" w:rsidRDefault="00074E77" w:rsidP="00074E77">
            <w:pPr>
              <w:pStyle w:val="TableAlpha2"/>
            </w:pPr>
            <w:r>
              <w:t>close to intersections,</w:t>
            </w:r>
          </w:p>
          <w:p w14:paraId="7C659760" w14:textId="4004B34B" w:rsidR="00074E77" w:rsidRDefault="00074E77" w:rsidP="00074E77">
            <w:pPr>
              <w:pStyle w:val="TableAlpha2"/>
            </w:pPr>
            <w:r>
              <w:t>opposite other developments generating a large amount of traffic (unless separated by a median),</w:t>
            </w:r>
          </w:p>
          <w:p w14:paraId="606D2DBE" w14:textId="7B08F42D" w:rsidR="00074E77" w:rsidRDefault="00074E77" w:rsidP="00074E77">
            <w:pPr>
              <w:pStyle w:val="TableAlpha2"/>
            </w:pPr>
            <w:r>
              <w:t>where there is a heavy and constant pedestrian movement along the footpath</w:t>
            </w:r>
          </w:p>
          <w:p w14:paraId="5780B334" w14:textId="2A13F2D7" w:rsidR="00074E77" w:rsidRDefault="00074E77" w:rsidP="00074E77">
            <w:pPr>
              <w:pStyle w:val="TableAlpha2"/>
            </w:pPr>
            <w:r>
              <w:t>where right turning traffic entering the facility may obstruct through traffic,</w:t>
            </w:r>
          </w:p>
          <w:p w14:paraId="5DE54B60" w14:textId="4752DE4C" w:rsidR="00074E77" w:rsidRPr="00074E77" w:rsidRDefault="00074E77" w:rsidP="00074E77">
            <w:pPr>
              <w:pStyle w:val="TableAlpha2"/>
            </w:pPr>
            <w:r>
              <w:t>where traffic using the driveways interferes with or blocks the operations of bus stops, taxi ranks, loading zones or pedestrian crossings.</w:t>
            </w:r>
          </w:p>
        </w:tc>
        <w:tc>
          <w:tcPr>
            <w:tcW w:w="5103" w:type="dxa"/>
          </w:tcPr>
          <w:p w14:paraId="408997AA" w14:textId="7201BCC0" w:rsidR="00074E77" w:rsidRDefault="00845296" w:rsidP="00D62A08">
            <w:pPr>
              <w:pStyle w:val="TableText"/>
            </w:pPr>
            <w:r>
              <w:t>No statement provided.</w:t>
            </w:r>
          </w:p>
        </w:tc>
        <w:tc>
          <w:tcPr>
            <w:tcW w:w="4931" w:type="dxa"/>
          </w:tcPr>
          <w:p w14:paraId="097BF101" w14:textId="77777777" w:rsidR="00074E77" w:rsidRPr="00EC1CCE" w:rsidRDefault="00F837B1" w:rsidP="00D62A08">
            <w:pPr>
              <w:pStyle w:val="TableText"/>
              <w:rPr>
                <w:b/>
                <w:bCs/>
              </w:rPr>
            </w:pPr>
            <w:r w:rsidRPr="00EC1CCE">
              <w:rPr>
                <w:b/>
                <w:bCs/>
              </w:rPr>
              <w:t>Complies.</w:t>
            </w:r>
          </w:p>
          <w:p w14:paraId="798C1CE9" w14:textId="7D1323CE" w:rsidR="00F837B1" w:rsidRDefault="00F837B1" w:rsidP="00D62A08">
            <w:pPr>
              <w:pStyle w:val="TableText"/>
            </w:pPr>
            <w:r>
              <w:t>Driveways use existing entry/egress points to avoid conflict and major roads. The entrance to the proposed laneway from Crawford Street i</w:t>
            </w:r>
            <w:r w:rsidR="00E654FD">
              <w:t>s single direction and has access control to minimise traffic impacts.</w:t>
            </w:r>
          </w:p>
        </w:tc>
      </w:tr>
      <w:tr w:rsidR="002E22C3" w14:paraId="0A492A16" w14:textId="77777777" w:rsidTr="001C4E03">
        <w:tc>
          <w:tcPr>
            <w:tcW w:w="14570" w:type="dxa"/>
            <w:gridSpan w:val="3"/>
            <w:shd w:val="clear" w:color="auto" w:fill="B7B7B9" w:themeFill="text2" w:themeFillTint="66"/>
          </w:tcPr>
          <w:p w14:paraId="077ABA49" w14:textId="0471D63B" w:rsidR="002E22C3" w:rsidRPr="00AF286F" w:rsidRDefault="00E6239D" w:rsidP="00D62A08">
            <w:pPr>
              <w:pStyle w:val="TableText"/>
              <w:rPr>
                <w:b/>
                <w:bCs/>
              </w:rPr>
            </w:pPr>
            <w:r>
              <w:rPr>
                <w:b/>
                <w:bCs/>
                <w:sz w:val="22"/>
              </w:rPr>
              <w:t>2.2.10 Design of Access Driveways</w:t>
            </w:r>
          </w:p>
        </w:tc>
      </w:tr>
      <w:tr w:rsidR="00E6239D" w14:paraId="32D7ED29" w14:textId="77777777" w:rsidTr="00E6239D">
        <w:tc>
          <w:tcPr>
            <w:tcW w:w="14570" w:type="dxa"/>
            <w:gridSpan w:val="3"/>
            <w:shd w:val="clear" w:color="auto" w:fill="DBDBDC" w:themeFill="accent2" w:themeFillTint="33"/>
          </w:tcPr>
          <w:p w14:paraId="4647280A" w14:textId="105B536F" w:rsidR="00E6239D" w:rsidRDefault="00E6239D" w:rsidP="00D62A08">
            <w:pPr>
              <w:pStyle w:val="TableText"/>
              <w:rPr>
                <w:b/>
                <w:bCs/>
                <w:sz w:val="22"/>
              </w:rPr>
            </w:pPr>
            <w:r>
              <w:rPr>
                <w:b/>
                <w:bCs/>
                <w:sz w:val="22"/>
              </w:rPr>
              <w:t>2.2.10.1 General Design Principles</w:t>
            </w:r>
          </w:p>
        </w:tc>
      </w:tr>
      <w:tr w:rsidR="00C90D1D" w14:paraId="01C70A99" w14:textId="77777777" w:rsidTr="00E6239D">
        <w:tc>
          <w:tcPr>
            <w:tcW w:w="4536" w:type="dxa"/>
            <w:shd w:val="clear" w:color="auto" w:fill="FFFFFF" w:themeFill="background1"/>
          </w:tcPr>
          <w:p w14:paraId="1EDB54B6" w14:textId="3A8F6964" w:rsidR="00C90D1D" w:rsidRPr="00E6239D" w:rsidRDefault="00C90D1D" w:rsidP="00920C6E">
            <w:pPr>
              <w:pStyle w:val="TableNumber"/>
              <w:numPr>
                <w:ilvl w:val="0"/>
                <w:numId w:val="27"/>
              </w:numPr>
            </w:pPr>
            <w:r w:rsidRPr="00E6239D">
              <w:t>position the entrance at the first vehicular driveway from the adjacent kerbside lane</w:t>
            </w:r>
          </w:p>
        </w:tc>
        <w:tc>
          <w:tcPr>
            <w:tcW w:w="5103" w:type="dxa"/>
            <w:vMerge w:val="restart"/>
            <w:shd w:val="clear" w:color="auto" w:fill="FFFFFF" w:themeFill="background1"/>
          </w:tcPr>
          <w:p w14:paraId="0439FAEE" w14:textId="77777777" w:rsidR="00C90D1D" w:rsidRDefault="00C90D1D" w:rsidP="00920C6E">
            <w:pPr>
              <w:pStyle w:val="TableText"/>
              <w:rPr>
                <w:b/>
                <w:bCs/>
                <w:sz w:val="22"/>
              </w:rPr>
            </w:pPr>
            <w:r w:rsidRPr="00310E19">
              <w:t>No statement provided.</w:t>
            </w:r>
          </w:p>
          <w:p w14:paraId="3F5C4045" w14:textId="4A9E8C73" w:rsidR="00C90D1D" w:rsidRDefault="00C90D1D" w:rsidP="00920C6E">
            <w:pPr>
              <w:pStyle w:val="TableText"/>
              <w:rPr>
                <w:b/>
                <w:bCs/>
                <w:sz w:val="22"/>
              </w:rPr>
            </w:pPr>
          </w:p>
          <w:p w14:paraId="511A7FAA" w14:textId="068BEF1B" w:rsidR="00C90D1D" w:rsidRDefault="00C90D1D" w:rsidP="00920C6E">
            <w:pPr>
              <w:pStyle w:val="TableText"/>
              <w:rPr>
                <w:b/>
                <w:bCs/>
                <w:sz w:val="22"/>
              </w:rPr>
            </w:pPr>
          </w:p>
          <w:p w14:paraId="00A08C7B" w14:textId="41608F70" w:rsidR="00C90D1D" w:rsidRDefault="00C90D1D" w:rsidP="00920C6E">
            <w:pPr>
              <w:pStyle w:val="TableText"/>
              <w:rPr>
                <w:b/>
                <w:bCs/>
                <w:sz w:val="22"/>
              </w:rPr>
            </w:pPr>
          </w:p>
          <w:p w14:paraId="5F4D842F" w14:textId="306B911B" w:rsidR="00C90D1D" w:rsidRDefault="00C90D1D" w:rsidP="00920C6E">
            <w:pPr>
              <w:pStyle w:val="TableText"/>
              <w:rPr>
                <w:b/>
                <w:bCs/>
                <w:sz w:val="22"/>
              </w:rPr>
            </w:pPr>
          </w:p>
        </w:tc>
        <w:tc>
          <w:tcPr>
            <w:tcW w:w="4931" w:type="dxa"/>
            <w:shd w:val="clear" w:color="auto" w:fill="FFFFFF" w:themeFill="background1"/>
          </w:tcPr>
          <w:p w14:paraId="72B03BE8" w14:textId="77777777" w:rsidR="00C90D1D" w:rsidRPr="00EC1CCE" w:rsidRDefault="00C90D1D" w:rsidP="00920C6E">
            <w:pPr>
              <w:pStyle w:val="TableText"/>
              <w:rPr>
                <w:b/>
                <w:bCs/>
              </w:rPr>
            </w:pPr>
            <w:r w:rsidRPr="00EC1CCE">
              <w:rPr>
                <w:b/>
                <w:bCs/>
              </w:rPr>
              <w:t>Complies.</w:t>
            </w:r>
          </w:p>
          <w:p w14:paraId="6BFA70D2" w14:textId="6AE2F657" w:rsidR="00C90D1D" w:rsidRDefault="00C90D1D" w:rsidP="00920C6E">
            <w:pPr>
              <w:pStyle w:val="TableText"/>
              <w:rPr>
                <w:b/>
                <w:bCs/>
                <w:sz w:val="22"/>
              </w:rPr>
            </w:pPr>
            <w:r>
              <w:t xml:space="preserve">Location of driveway entrances is considered appropriate. </w:t>
            </w:r>
          </w:p>
        </w:tc>
      </w:tr>
      <w:tr w:rsidR="00C90D1D" w14:paraId="4EE359D1" w14:textId="77777777" w:rsidTr="00E6239D">
        <w:tc>
          <w:tcPr>
            <w:tcW w:w="4536" w:type="dxa"/>
            <w:shd w:val="clear" w:color="auto" w:fill="FFFFFF" w:themeFill="background1"/>
          </w:tcPr>
          <w:p w14:paraId="4EDF647F" w14:textId="00E23213" w:rsidR="00C90D1D" w:rsidRPr="00E6239D" w:rsidRDefault="00C90D1D" w:rsidP="00920C6E">
            <w:pPr>
              <w:pStyle w:val="TableNumber"/>
            </w:pPr>
            <w:r w:rsidRPr="00E6239D">
              <w:t>avoid reversing movements into or out of public streets (except in the case of individual dwelling houses)</w:t>
            </w:r>
          </w:p>
        </w:tc>
        <w:tc>
          <w:tcPr>
            <w:tcW w:w="5103" w:type="dxa"/>
            <w:vMerge/>
            <w:shd w:val="clear" w:color="auto" w:fill="FFFFFF" w:themeFill="background1"/>
          </w:tcPr>
          <w:p w14:paraId="6B1F3BBE" w14:textId="3EA96950" w:rsidR="00C90D1D" w:rsidRDefault="00C90D1D" w:rsidP="00920C6E">
            <w:pPr>
              <w:pStyle w:val="TableText"/>
              <w:rPr>
                <w:b/>
                <w:bCs/>
                <w:sz w:val="22"/>
              </w:rPr>
            </w:pPr>
          </w:p>
        </w:tc>
        <w:tc>
          <w:tcPr>
            <w:tcW w:w="4931" w:type="dxa"/>
            <w:shd w:val="clear" w:color="auto" w:fill="FFFFFF" w:themeFill="background1"/>
          </w:tcPr>
          <w:p w14:paraId="12830DEC" w14:textId="77777777" w:rsidR="00C90D1D" w:rsidRPr="00EC1CCE" w:rsidRDefault="00C90D1D" w:rsidP="00920C6E">
            <w:pPr>
              <w:pStyle w:val="TableText"/>
              <w:rPr>
                <w:b/>
                <w:bCs/>
              </w:rPr>
            </w:pPr>
            <w:r w:rsidRPr="00EC1CCE">
              <w:rPr>
                <w:b/>
                <w:bCs/>
              </w:rPr>
              <w:t>Complies.</w:t>
            </w:r>
          </w:p>
          <w:p w14:paraId="2843DF89" w14:textId="3420D279" w:rsidR="00C90D1D" w:rsidRPr="00E654FD" w:rsidRDefault="00C90D1D" w:rsidP="00920C6E">
            <w:pPr>
              <w:pStyle w:val="TableText"/>
            </w:pPr>
            <w:r w:rsidRPr="00E654FD">
              <w:t xml:space="preserve">Site access and egress is in a forward direction. No reversing is </w:t>
            </w:r>
            <w:r>
              <w:t>proposed.</w:t>
            </w:r>
          </w:p>
        </w:tc>
      </w:tr>
      <w:tr w:rsidR="00C90D1D" w14:paraId="0218BCB3" w14:textId="77777777" w:rsidTr="00E6239D">
        <w:tc>
          <w:tcPr>
            <w:tcW w:w="4536" w:type="dxa"/>
            <w:shd w:val="clear" w:color="auto" w:fill="FFFFFF" w:themeFill="background1"/>
          </w:tcPr>
          <w:p w14:paraId="1F9CE5B0" w14:textId="0E2A2814" w:rsidR="00C90D1D" w:rsidRPr="00E6239D" w:rsidRDefault="00C90D1D" w:rsidP="00920C6E">
            <w:pPr>
              <w:pStyle w:val="TableNumber"/>
            </w:pPr>
            <w:r w:rsidRPr="00E6239D">
              <w:lastRenderedPageBreak/>
              <w:t>avoid arrangements which may result in on-street queuing</w:t>
            </w:r>
          </w:p>
        </w:tc>
        <w:tc>
          <w:tcPr>
            <w:tcW w:w="5103" w:type="dxa"/>
            <w:vMerge/>
            <w:shd w:val="clear" w:color="auto" w:fill="FFFFFF" w:themeFill="background1"/>
          </w:tcPr>
          <w:p w14:paraId="61246228" w14:textId="02883572" w:rsidR="00C90D1D" w:rsidRDefault="00C90D1D" w:rsidP="00920C6E">
            <w:pPr>
              <w:pStyle w:val="TableText"/>
              <w:rPr>
                <w:b/>
                <w:bCs/>
                <w:sz w:val="22"/>
              </w:rPr>
            </w:pPr>
          </w:p>
        </w:tc>
        <w:tc>
          <w:tcPr>
            <w:tcW w:w="4931" w:type="dxa"/>
            <w:shd w:val="clear" w:color="auto" w:fill="FFFFFF" w:themeFill="background1"/>
          </w:tcPr>
          <w:p w14:paraId="041F21A2" w14:textId="77777777" w:rsidR="00C90D1D" w:rsidRPr="00EC1CCE" w:rsidRDefault="00C90D1D" w:rsidP="00920C6E">
            <w:pPr>
              <w:pStyle w:val="TableText"/>
              <w:rPr>
                <w:b/>
                <w:bCs/>
              </w:rPr>
            </w:pPr>
            <w:r w:rsidRPr="00EC1CCE">
              <w:rPr>
                <w:b/>
                <w:bCs/>
              </w:rPr>
              <w:t>Complies.</w:t>
            </w:r>
          </w:p>
          <w:p w14:paraId="4BD694D6" w14:textId="26BA4CE3" w:rsidR="00C90D1D" w:rsidRPr="00E654FD" w:rsidRDefault="00C90D1D" w:rsidP="00920C6E">
            <w:pPr>
              <w:pStyle w:val="TableText"/>
            </w:pPr>
            <w:r>
              <w:t xml:space="preserve">All parking (surface parking and basement parking) is located within blocks and setback from the street to prevent on-street queuing. </w:t>
            </w:r>
          </w:p>
        </w:tc>
      </w:tr>
      <w:tr w:rsidR="00C90D1D" w14:paraId="036D6A99" w14:textId="77777777" w:rsidTr="00E6239D">
        <w:tc>
          <w:tcPr>
            <w:tcW w:w="4536" w:type="dxa"/>
            <w:shd w:val="clear" w:color="auto" w:fill="FFFFFF" w:themeFill="background1"/>
          </w:tcPr>
          <w:p w14:paraId="24B320DF" w14:textId="2C4421DF" w:rsidR="00C90D1D" w:rsidRPr="00E6239D" w:rsidRDefault="00C90D1D" w:rsidP="00920C6E">
            <w:pPr>
              <w:pStyle w:val="TableNumber"/>
            </w:pPr>
            <w:r w:rsidRPr="00E6239D">
              <w:t>promote the use of physical pedestrian barriers to discourage motorists from parking on the opposite side of the development and crossing the road to get to the site</w:t>
            </w:r>
          </w:p>
        </w:tc>
        <w:tc>
          <w:tcPr>
            <w:tcW w:w="5103" w:type="dxa"/>
            <w:vMerge/>
            <w:shd w:val="clear" w:color="auto" w:fill="FFFFFF" w:themeFill="background1"/>
          </w:tcPr>
          <w:p w14:paraId="0700D6C5" w14:textId="42C23FC3" w:rsidR="00C90D1D" w:rsidRDefault="00C90D1D" w:rsidP="00920C6E">
            <w:pPr>
              <w:pStyle w:val="TableText"/>
              <w:rPr>
                <w:b/>
                <w:bCs/>
                <w:sz w:val="22"/>
              </w:rPr>
            </w:pPr>
          </w:p>
        </w:tc>
        <w:tc>
          <w:tcPr>
            <w:tcW w:w="4931" w:type="dxa"/>
            <w:shd w:val="clear" w:color="auto" w:fill="FFFFFF" w:themeFill="background1"/>
          </w:tcPr>
          <w:p w14:paraId="11D5A159" w14:textId="77777777" w:rsidR="00C90D1D" w:rsidRPr="00EC1CCE" w:rsidRDefault="00C90D1D" w:rsidP="00920C6E">
            <w:pPr>
              <w:pStyle w:val="TableText"/>
              <w:rPr>
                <w:b/>
                <w:bCs/>
              </w:rPr>
            </w:pPr>
            <w:r w:rsidRPr="00EC1CCE">
              <w:rPr>
                <w:b/>
                <w:bCs/>
              </w:rPr>
              <w:t>Complies.</w:t>
            </w:r>
          </w:p>
          <w:p w14:paraId="7E23944D" w14:textId="77777777" w:rsidR="00C90D1D" w:rsidRPr="00E654FD" w:rsidRDefault="00C90D1D" w:rsidP="00920C6E">
            <w:pPr>
              <w:pStyle w:val="TableText"/>
            </w:pPr>
            <w:r w:rsidRPr="00E654FD">
              <w:t xml:space="preserve">Parking is encouraged in the proposed basement parking. </w:t>
            </w:r>
          </w:p>
          <w:p w14:paraId="463BE92E" w14:textId="3D75C4D0" w:rsidR="00C90D1D" w:rsidRPr="00E654FD" w:rsidRDefault="00C90D1D" w:rsidP="00920C6E">
            <w:pPr>
              <w:pStyle w:val="TableText"/>
            </w:pPr>
            <w:r w:rsidRPr="00E654FD">
              <w:t>Existing street parking is retained along Crawford Street.</w:t>
            </w:r>
          </w:p>
        </w:tc>
      </w:tr>
      <w:tr w:rsidR="00C90D1D" w14:paraId="549FB833" w14:textId="77777777" w:rsidTr="00E6239D">
        <w:tc>
          <w:tcPr>
            <w:tcW w:w="4536" w:type="dxa"/>
            <w:shd w:val="clear" w:color="auto" w:fill="FFFFFF" w:themeFill="background1"/>
          </w:tcPr>
          <w:p w14:paraId="156CE8D3" w14:textId="4D4B0C66" w:rsidR="00C90D1D" w:rsidRPr="00E6239D" w:rsidRDefault="00C90D1D" w:rsidP="00920C6E">
            <w:pPr>
              <w:pStyle w:val="TableNumber"/>
            </w:pPr>
            <w:r w:rsidRPr="00E6239D">
              <w:t>position each driveway so that it is clear of all obstructions, eg. poles, trees, which may prevent drivers from having a timely view of pedestrians</w:t>
            </w:r>
          </w:p>
        </w:tc>
        <w:tc>
          <w:tcPr>
            <w:tcW w:w="5103" w:type="dxa"/>
            <w:vMerge/>
            <w:shd w:val="clear" w:color="auto" w:fill="FFFFFF" w:themeFill="background1"/>
          </w:tcPr>
          <w:p w14:paraId="0E2CABAA" w14:textId="0B409AC9" w:rsidR="00C90D1D" w:rsidRDefault="00C90D1D" w:rsidP="00920C6E">
            <w:pPr>
              <w:pStyle w:val="TableText"/>
              <w:rPr>
                <w:b/>
                <w:bCs/>
                <w:sz w:val="22"/>
              </w:rPr>
            </w:pPr>
          </w:p>
        </w:tc>
        <w:tc>
          <w:tcPr>
            <w:tcW w:w="4931" w:type="dxa"/>
            <w:shd w:val="clear" w:color="auto" w:fill="FFFFFF" w:themeFill="background1"/>
          </w:tcPr>
          <w:p w14:paraId="5CB86378" w14:textId="552A4038" w:rsidR="00C90D1D" w:rsidRPr="00EC1CCE" w:rsidRDefault="00C90D1D" w:rsidP="00920C6E">
            <w:pPr>
              <w:pStyle w:val="TableText"/>
              <w:rPr>
                <w:b/>
                <w:bCs/>
              </w:rPr>
            </w:pPr>
            <w:r w:rsidRPr="00EC1CCE">
              <w:rPr>
                <w:b/>
                <w:bCs/>
              </w:rPr>
              <w:t>Complies</w:t>
            </w:r>
          </w:p>
          <w:p w14:paraId="62C25765" w14:textId="1961A4F2" w:rsidR="00C90D1D" w:rsidRPr="00E654FD" w:rsidRDefault="00C90D1D" w:rsidP="00920C6E">
            <w:pPr>
              <w:pStyle w:val="TableText"/>
            </w:pPr>
            <w:r w:rsidRPr="00E654FD">
              <w:t>Access lane for basement car park generally aligns with existing laneway and is clear of potential obstructions along Rutledge Street.</w:t>
            </w:r>
          </w:p>
        </w:tc>
      </w:tr>
      <w:tr w:rsidR="00C90D1D" w14:paraId="2A667B35" w14:textId="77777777" w:rsidTr="00E6239D">
        <w:tc>
          <w:tcPr>
            <w:tcW w:w="4536" w:type="dxa"/>
            <w:shd w:val="clear" w:color="auto" w:fill="FFFFFF" w:themeFill="background1"/>
          </w:tcPr>
          <w:p w14:paraId="1F27C52D" w14:textId="428806BC" w:rsidR="00C90D1D" w:rsidRPr="00E6239D" w:rsidRDefault="00C90D1D" w:rsidP="00920C6E">
            <w:pPr>
              <w:pStyle w:val="TableNumber"/>
            </w:pPr>
            <w:r w:rsidRPr="00E6239D">
              <w:t>design each driveway so that it is relatively level within 6 metres of the site boundary or any pedestrian way; the recommended maximum grade is 5%</w:t>
            </w:r>
          </w:p>
        </w:tc>
        <w:tc>
          <w:tcPr>
            <w:tcW w:w="5103" w:type="dxa"/>
            <w:vMerge w:val="restart"/>
            <w:shd w:val="clear" w:color="auto" w:fill="FFFFFF" w:themeFill="background1"/>
          </w:tcPr>
          <w:p w14:paraId="1891FB6B" w14:textId="77777777" w:rsidR="00C90D1D" w:rsidRDefault="00C90D1D" w:rsidP="00920C6E">
            <w:pPr>
              <w:pStyle w:val="TableText"/>
              <w:rPr>
                <w:b/>
                <w:bCs/>
                <w:sz w:val="22"/>
              </w:rPr>
            </w:pPr>
            <w:r w:rsidRPr="00310E19">
              <w:t>No statement provided.</w:t>
            </w:r>
          </w:p>
          <w:p w14:paraId="53C410C2" w14:textId="29AA9559" w:rsidR="00C90D1D" w:rsidRDefault="00C90D1D" w:rsidP="00920C6E">
            <w:pPr>
              <w:pStyle w:val="TableText"/>
              <w:rPr>
                <w:b/>
                <w:bCs/>
                <w:sz w:val="22"/>
              </w:rPr>
            </w:pPr>
          </w:p>
        </w:tc>
        <w:tc>
          <w:tcPr>
            <w:tcW w:w="4931" w:type="dxa"/>
            <w:shd w:val="clear" w:color="auto" w:fill="FFFFFF" w:themeFill="background1"/>
          </w:tcPr>
          <w:p w14:paraId="4ACD4E70" w14:textId="1722804F" w:rsidR="00C90D1D" w:rsidRPr="00EC1CCE" w:rsidRDefault="00C90D1D" w:rsidP="00920C6E">
            <w:pPr>
              <w:pStyle w:val="TableText"/>
              <w:rPr>
                <w:b/>
                <w:bCs/>
              </w:rPr>
            </w:pPr>
            <w:r w:rsidRPr="00EC1CCE">
              <w:rPr>
                <w:b/>
                <w:bCs/>
              </w:rPr>
              <w:t>Complies.</w:t>
            </w:r>
          </w:p>
          <w:p w14:paraId="23C3D246" w14:textId="2279A4C8" w:rsidR="00C90D1D" w:rsidRPr="00E654FD" w:rsidRDefault="00C90D1D" w:rsidP="00920C6E">
            <w:pPr>
              <w:pStyle w:val="TableText"/>
            </w:pPr>
            <w:r w:rsidRPr="00E654FD">
              <w:t xml:space="preserve">Basement entry ramp does not start until more than 6m from the site boundary on Rutledge Street.  </w:t>
            </w:r>
          </w:p>
        </w:tc>
      </w:tr>
      <w:tr w:rsidR="00C90D1D" w14:paraId="499CDD7E" w14:textId="77777777" w:rsidTr="00E6239D">
        <w:tc>
          <w:tcPr>
            <w:tcW w:w="4536" w:type="dxa"/>
            <w:shd w:val="clear" w:color="auto" w:fill="FFFFFF" w:themeFill="background1"/>
          </w:tcPr>
          <w:p w14:paraId="4981BC19" w14:textId="74B7997B" w:rsidR="00C90D1D" w:rsidRPr="00E6239D" w:rsidRDefault="00C90D1D" w:rsidP="00920C6E">
            <w:pPr>
              <w:pStyle w:val="TableNumber"/>
            </w:pPr>
            <w:r w:rsidRPr="00E6239D">
              <w:t>signpost each driveway with appropriate entry, exit and keep left signs.</w:t>
            </w:r>
          </w:p>
        </w:tc>
        <w:tc>
          <w:tcPr>
            <w:tcW w:w="5103" w:type="dxa"/>
            <w:vMerge/>
            <w:shd w:val="clear" w:color="auto" w:fill="FFFFFF" w:themeFill="background1"/>
          </w:tcPr>
          <w:p w14:paraId="1119D650" w14:textId="30E9E8BA" w:rsidR="00C90D1D" w:rsidRDefault="00C90D1D" w:rsidP="00920C6E">
            <w:pPr>
              <w:pStyle w:val="TableText"/>
              <w:rPr>
                <w:b/>
                <w:bCs/>
                <w:sz w:val="22"/>
              </w:rPr>
            </w:pPr>
          </w:p>
        </w:tc>
        <w:tc>
          <w:tcPr>
            <w:tcW w:w="4931" w:type="dxa"/>
            <w:shd w:val="clear" w:color="auto" w:fill="FFFFFF" w:themeFill="background1"/>
          </w:tcPr>
          <w:p w14:paraId="22D28250" w14:textId="77777777" w:rsidR="00C90D1D" w:rsidRPr="0054542C" w:rsidRDefault="00C90D1D" w:rsidP="0054542C">
            <w:pPr>
              <w:pStyle w:val="TableText"/>
              <w:rPr>
                <w:b/>
                <w:bCs/>
              </w:rPr>
            </w:pPr>
            <w:r w:rsidRPr="0068355C">
              <w:rPr>
                <w:b/>
                <w:bCs/>
              </w:rPr>
              <w:t>Not determined</w:t>
            </w:r>
            <w:r>
              <w:t>.</w:t>
            </w:r>
          </w:p>
          <w:p w14:paraId="273F7CA0" w14:textId="7FE0F643" w:rsidR="00C90D1D" w:rsidRDefault="00C90D1D" w:rsidP="00EC1CCE">
            <w:pPr>
              <w:pStyle w:val="TableText"/>
            </w:pPr>
            <w:r w:rsidRPr="00EC1CCE">
              <w:t>No evidence provided.</w:t>
            </w:r>
            <w:r>
              <w:t xml:space="preserve"> </w:t>
            </w:r>
          </w:p>
        </w:tc>
      </w:tr>
      <w:tr w:rsidR="002E22C3" w14:paraId="0CEDBD22" w14:textId="77777777" w:rsidTr="00915FFB">
        <w:tc>
          <w:tcPr>
            <w:tcW w:w="14570" w:type="dxa"/>
            <w:gridSpan w:val="3"/>
            <w:shd w:val="clear" w:color="auto" w:fill="DBDBDC" w:themeFill="accent2" w:themeFillTint="33"/>
          </w:tcPr>
          <w:p w14:paraId="2BB2FF02" w14:textId="24ADA231" w:rsidR="002E22C3" w:rsidRPr="00AE12EF" w:rsidRDefault="00915FFB" w:rsidP="00D62A08">
            <w:pPr>
              <w:pStyle w:val="TableText"/>
              <w:rPr>
                <w:b/>
                <w:bCs/>
              </w:rPr>
            </w:pPr>
            <w:r>
              <w:rPr>
                <w:b/>
                <w:bCs/>
                <w:sz w:val="22"/>
              </w:rPr>
              <w:t>2.2.10.2 Selection of Driveway Types</w:t>
            </w:r>
          </w:p>
        </w:tc>
      </w:tr>
      <w:tr w:rsidR="002E22C3" w14:paraId="54C4A9C6" w14:textId="77777777" w:rsidTr="00D62A08">
        <w:tc>
          <w:tcPr>
            <w:tcW w:w="4536" w:type="dxa"/>
          </w:tcPr>
          <w:p w14:paraId="177D66D2" w14:textId="0F1553D2" w:rsidR="002E22C3" w:rsidRDefault="00915FFB" w:rsidP="00A30E20">
            <w:pPr>
              <w:pStyle w:val="TableAlpha"/>
              <w:numPr>
                <w:ilvl w:val="0"/>
                <w:numId w:val="28"/>
              </w:numPr>
            </w:pPr>
            <w:r w:rsidRPr="00915FFB">
              <w:t>Applicants are referred to Section 6 of the RMS Guide to Traffic Generating Developments Version 2.2 for the design requirements for access driveways.</w:t>
            </w:r>
          </w:p>
        </w:tc>
        <w:tc>
          <w:tcPr>
            <w:tcW w:w="5103" w:type="dxa"/>
          </w:tcPr>
          <w:p w14:paraId="40DE32DF" w14:textId="01E1832B" w:rsidR="002E22C3" w:rsidRDefault="002E22C3" w:rsidP="00D62A08">
            <w:pPr>
              <w:pStyle w:val="TableText"/>
            </w:pPr>
          </w:p>
        </w:tc>
        <w:tc>
          <w:tcPr>
            <w:tcW w:w="4931" w:type="dxa"/>
          </w:tcPr>
          <w:p w14:paraId="4EE6483D" w14:textId="77777777" w:rsidR="002E22C3" w:rsidRDefault="00180D7D" w:rsidP="00D62A08">
            <w:pPr>
              <w:pStyle w:val="TableText"/>
              <w:rPr>
                <w:b/>
                <w:bCs/>
              </w:rPr>
            </w:pPr>
            <w:r>
              <w:rPr>
                <w:b/>
                <w:bCs/>
              </w:rPr>
              <w:t>Complies.</w:t>
            </w:r>
          </w:p>
          <w:p w14:paraId="20E38DD3" w14:textId="0F82186E" w:rsidR="00180D7D" w:rsidRPr="00180D7D" w:rsidRDefault="00180D7D" w:rsidP="00D62A08">
            <w:pPr>
              <w:pStyle w:val="TableText"/>
            </w:pPr>
            <w:r w:rsidRPr="00180D7D">
              <w:t xml:space="preserve">Traffic and Parking Assessment has been prepared in accordance with the RMS Guide. </w:t>
            </w:r>
          </w:p>
        </w:tc>
      </w:tr>
      <w:tr w:rsidR="00915FFB" w14:paraId="3DE5D0D0" w14:textId="77777777" w:rsidTr="00D62A08">
        <w:tc>
          <w:tcPr>
            <w:tcW w:w="4536" w:type="dxa"/>
          </w:tcPr>
          <w:p w14:paraId="2B1AC1E8" w14:textId="43C68FC9" w:rsidR="00915FFB" w:rsidRPr="00915FFB" w:rsidRDefault="00915FFB" w:rsidP="00A30E20">
            <w:pPr>
              <w:pStyle w:val="TableAlpha"/>
              <w:numPr>
                <w:ilvl w:val="0"/>
                <w:numId w:val="28"/>
              </w:numPr>
            </w:pPr>
            <w:r w:rsidRPr="00915FFB">
              <w:t>Refer to Table 6.1 of the RMS guide for entry and exit driveway widths, and separation between the two where applicable.</w:t>
            </w:r>
          </w:p>
        </w:tc>
        <w:tc>
          <w:tcPr>
            <w:tcW w:w="5103" w:type="dxa"/>
          </w:tcPr>
          <w:p w14:paraId="3C8DA577" w14:textId="77777777" w:rsidR="00915FFB" w:rsidRDefault="00915FFB" w:rsidP="00D62A08">
            <w:pPr>
              <w:pStyle w:val="TableText"/>
            </w:pPr>
          </w:p>
        </w:tc>
        <w:tc>
          <w:tcPr>
            <w:tcW w:w="4931" w:type="dxa"/>
          </w:tcPr>
          <w:p w14:paraId="27968FA1" w14:textId="7ACE1A58" w:rsidR="00EC1CCE" w:rsidRPr="00EC1CCE" w:rsidRDefault="00EC1CCE" w:rsidP="00D62A08">
            <w:pPr>
              <w:pStyle w:val="TableText"/>
              <w:rPr>
                <w:b/>
                <w:bCs/>
              </w:rPr>
            </w:pPr>
            <w:r w:rsidRPr="00EC1CCE">
              <w:rPr>
                <w:b/>
                <w:bCs/>
              </w:rPr>
              <w:t xml:space="preserve">Complies. </w:t>
            </w:r>
          </w:p>
          <w:p w14:paraId="230C7E74" w14:textId="686FE44F" w:rsidR="007F152B" w:rsidRDefault="007F152B" w:rsidP="00D62A08">
            <w:pPr>
              <w:pStyle w:val="TableText"/>
            </w:pPr>
            <w:r>
              <w:t>The site is identified as type 2-3 and thus is subject to:</w:t>
            </w:r>
          </w:p>
          <w:p w14:paraId="65F1A4D9" w14:textId="77777777" w:rsidR="00915FFB" w:rsidRDefault="007F152B" w:rsidP="00D62A08">
            <w:pPr>
              <w:pStyle w:val="TableText"/>
            </w:pPr>
            <w:r>
              <w:t>- an entry width of 6m;</w:t>
            </w:r>
          </w:p>
          <w:p w14:paraId="3050779A" w14:textId="1450702E" w:rsidR="007F152B" w:rsidRDefault="007F152B" w:rsidP="00D62A08">
            <w:pPr>
              <w:pStyle w:val="TableText"/>
            </w:pPr>
            <w:r>
              <w:t>- an exit width of 4-6m; and</w:t>
            </w:r>
          </w:p>
          <w:p w14:paraId="2111AB50" w14:textId="2E1636DF" w:rsidR="007F152B" w:rsidRDefault="007F152B" w:rsidP="00D62A08">
            <w:pPr>
              <w:pStyle w:val="TableText"/>
            </w:pPr>
            <w:r>
              <w:lastRenderedPageBreak/>
              <w:t>- a minimum separation of 1-3m of driveways.</w:t>
            </w:r>
          </w:p>
        </w:tc>
      </w:tr>
      <w:tr w:rsidR="00915FFB" w14:paraId="469957A3" w14:textId="77777777" w:rsidTr="00D62A08">
        <w:tc>
          <w:tcPr>
            <w:tcW w:w="4536" w:type="dxa"/>
          </w:tcPr>
          <w:p w14:paraId="3B72BFA3" w14:textId="5B03ADDE" w:rsidR="00915FFB" w:rsidRPr="00915FFB" w:rsidRDefault="00915FFB" w:rsidP="00A30E20">
            <w:pPr>
              <w:pStyle w:val="TableAlpha"/>
              <w:numPr>
                <w:ilvl w:val="0"/>
                <w:numId w:val="28"/>
              </w:numPr>
            </w:pPr>
            <w:r w:rsidRPr="00915FFB">
              <w:lastRenderedPageBreak/>
              <w:t>Refer to Table 6.2 for type of driveways to serve certain numbers of parking spaces.</w:t>
            </w:r>
          </w:p>
        </w:tc>
        <w:tc>
          <w:tcPr>
            <w:tcW w:w="5103" w:type="dxa"/>
          </w:tcPr>
          <w:p w14:paraId="3C2E9706" w14:textId="77777777" w:rsidR="00915FFB" w:rsidRDefault="00915FFB" w:rsidP="00D62A08">
            <w:pPr>
              <w:pStyle w:val="TableText"/>
            </w:pPr>
          </w:p>
        </w:tc>
        <w:tc>
          <w:tcPr>
            <w:tcW w:w="4931" w:type="dxa"/>
          </w:tcPr>
          <w:p w14:paraId="78657CC1" w14:textId="0235B25D" w:rsidR="00EC1CCE" w:rsidRPr="00EC1CCE" w:rsidRDefault="00EC1CCE" w:rsidP="00D62A08">
            <w:pPr>
              <w:pStyle w:val="TableText"/>
              <w:rPr>
                <w:b/>
                <w:bCs/>
              </w:rPr>
            </w:pPr>
            <w:r w:rsidRPr="00EC1CCE">
              <w:rPr>
                <w:b/>
                <w:bCs/>
              </w:rPr>
              <w:t>Complies.</w:t>
            </w:r>
          </w:p>
          <w:p w14:paraId="180443F2" w14:textId="77777777" w:rsidR="00915FFB" w:rsidRDefault="007F152B" w:rsidP="00D62A08">
            <w:pPr>
              <w:pStyle w:val="TableText"/>
            </w:pPr>
            <w:r>
              <w:t>The driveway is identified as type 2 -3</w:t>
            </w:r>
            <w:r w:rsidR="00C91157">
              <w:t>; serving 101-300 car parking spaces.</w:t>
            </w:r>
          </w:p>
          <w:p w14:paraId="62648D9B" w14:textId="55953401" w:rsidR="00EC1CCE" w:rsidRDefault="00EC1CCE" w:rsidP="00D62A08">
            <w:pPr>
              <w:pStyle w:val="TableText"/>
            </w:pPr>
            <w:r>
              <w:t>Driveway services approximately 200 parking spaces</w:t>
            </w:r>
          </w:p>
        </w:tc>
      </w:tr>
      <w:tr w:rsidR="002E22C3" w14:paraId="3A8A0BAA" w14:textId="77777777" w:rsidTr="00D62A08">
        <w:tc>
          <w:tcPr>
            <w:tcW w:w="4536" w:type="dxa"/>
          </w:tcPr>
          <w:p w14:paraId="07D4DE2E" w14:textId="159DBB42" w:rsidR="002E22C3" w:rsidRDefault="00915FFB" w:rsidP="00915FFB">
            <w:pPr>
              <w:pStyle w:val="TableAlpha"/>
            </w:pPr>
            <w:r w:rsidRPr="00915FFB">
              <w:t>Council will specify the difference in level across the footway area for the development.</w:t>
            </w:r>
          </w:p>
        </w:tc>
        <w:tc>
          <w:tcPr>
            <w:tcW w:w="5103" w:type="dxa"/>
          </w:tcPr>
          <w:p w14:paraId="0C5C4190" w14:textId="782682B0" w:rsidR="002E22C3" w:rsidRDefault="002E22C3" w:rsidP="00D62A08">
            <w:pPr>
              <w:pStyle w:val="TableText"/>
            </w:pPr>
          </w:p>
        </w:tc>
        <w:tc>
          <w:tcPr>
            <w:tcW w:w="4931" w:type="dxa"/>
          </w:tcPr>
          <w:p w14:paraId="5C5B6DA4" w14:textId="0EDECD4A" w:rsidR="002E22C3" w:rsidRDefault="002E22C3" w:rsidP="00D62A08">
            <w:pPr>
              <w:pStyle w:val="TableText"/>
            </w:pPr>
          </w:p>
        </w:tc>
      </w:tr>
      <w:tr w:rsidR="00915FFB" w14:paraId="54DA25A7" w14:textId="77777777" w:rsidTr="000C2DD2">
        <w:tc>
          <w:tcPr>
            <w:tcW w:w="14570" w:type="dxa"/>
            <w:gridSpan w:val="3"/>
            <w:shd w:val="clear" w:color="auto" w:fill="DBDBDC" w:themeFill="accent2" w:themeFillTint="33"/>
          </w:tcPr>
          <w:p w14:paraId="69AAB477" w14:textId="399D354E" w:rsidR="00915FFB" w:rsidRDefault="00915FFB" w:rsidP="00D62A08">
            <w:pPr>
              <w:pStyle w:val="TableText"/>
            </w:pPr>
            <w:r>
              <w:rPr>
                <w:b/>
                <w:bCs/>
                <w:sz w:val="22"/>
              </w:rPr>
              <w:t>2.2.10.3 Splays and Kerb Returns</w:t>
            </w:r>
          </w:p>
        </w:tc>
      </w:tr>
      <w:tr w:rsidR="00C90D1D" w14:paraId="28E4CCD6" w14:textId="77777777" w:rsidTr="00D62A08">
        <w:tc>
          <w:tcPr>
            <w:tcW w:w="4536" w:type="dxa"/>
          </w:tcPr>
          <w:p w14:paraId="593C5C61" w14:textId="0CD61539" w:rsidR="00C90D1D" w:rsidRDefault="00C90D1D" w:rsidP="00A30E20">
            <w:pPr>
              <w:pStyle w:val="TableAlpha"/>
              <w:numPr>
                <w:ilvl w:val="0"/>
                <w:numId w:val="29"/>
              </w:numPr>
            </w:pPr>
            <w:r w:rsidRPr="00915FFB">
              <w:t>The use of kerb returns rather than splays is not supported and will only be considered in exceptional circumstances.</w:t>
            </w:r>
          </w:p>
        </w:tc>
        <w:tc>
          <w:tcPr>
            <w:tcW w:w="5103" w:type="dxa"/>
            <w:vMerge w:val="restart"/>
          </w:tcPr>
          <w:p w14:paraId="7BB0E015" w14:textId="77777777" w:rsidR="00C90D1D" w:rsidRDefault="00C90D1D" w:rsidP="00D62A08">
            <w:pPr>
              <w:pStyle w:val="TableText"/>
            </w:pPr>
          </w:p>
        </w:tc>
        <w:tc>
          <w:tcPr>
            <w:tcW w:w="4931" w:type="dxa"/>
            <w:vMerge w:val="restart"/>
          </w:tcPr>
          <w:p w14:paraId="3BE81973" w14:textId="352D0951" w:rsidR="00C90D1D" w:rsidRDefault="00C90D1D" w:rsidP="00D62A08">
            <w:pPr>
              <w:pStyle w:val="TableText"/>
            </w:pPr>
            <w:r>
              <w:rPr>
                <w:b/>
                <w:bCs/>
              </w:rPr>
              <w:t xml:space="preserve">Compliance through consent </w:t>
            </w:r>
          </w:p>
          <w:p w14:paraId="758AB075" w14:textId="1BCB402B" w:rsidR="00C90D1D" w:rsidRDefault="00C90D1D" w:rsidP="00C07613">
            <w:pPr>
              <w:pStyle w:val="TableText"/>
            </w:pPr>
          </w:p>
          <w:p w14:paraId="79F338B4" w14:textId="5F697FFF" w:rsidR="00C90D1D" w:rsidRDefault="00C90D1D" w:rsidP="00C07613">
            <w:pPr>
              <w:pStyle w:val="TableText"/>
            </w:pPr>
          </w:p>
          <w:p w14:paraId="4B918695" w14:textId="6D603353" w:rsidR="00C90D1D" w:rsidRDefault="00C90D1D" w:rsidP="00C07613">
            <w:pPr>
              <w:pStyle w:val="TableText"/>
            </w:pPr>
          </w:p>
        </w:tc>
      </w:tr>
      <w:tr w:rsidR="00C90D1D" w14:paraId="2F57120C" w14:textId="77777777" w:rsidTr="00D62A08">
        <w:tc>
          <w:tcPr>
            <w:tcW w:w="4536" w:type="dxa"/>
          </w:tcPr>
          <w:p w14:paraId="61C04E11" w14:textId="77777777" w:rsidR="00C90D1D" w:rsidRDefault="00C90D1D" w:rsidP="00915FFB">
            <w:pPr>
              <w:pStyle w:val="TableAlpha"/>
            </w:pPr>
            <w:r>
              <w:t>Consider the following points when choosing splays for driveways:</w:t>
            </w:r>
          </w:p>
          <w:p w14:paraId="297FD7CC" w14:textId="5B50B981" w:rsidR="00C90D1D" w:rsidRDefault="00C90D1D" w:rsidP="00915FFB">
            <w:pPr>
              <w:pStyle w:val="TableAlpha2"/>
            </w:pPr>
            <w:r>
              <w:t>type of frontage road</w:t>
            </w:r>
          </w:p>
          <w:p w14:paraId="28866F33" w14:textId="0AA054A5" w:rsidR="00C90D1D" w:rsidRDefault="00C90D1D" w:rsidP="00915FFB">
            <w:pPr>
              <w:pStyle w:val="TableAlpha2"/>
            </w:pPr>
            <w:r>
              <w:t>volume of traffic</w:t>
            </w:r>
          </w:p>
          <w:p w14:paraId="4864B2F2" w14:textId="06BA94F5" w:rsidR="00C90D1D" w:rsidRDefault="00C90D1D" w:rsidP="00915FFB">
            <w:pPr>
              <w:pStyle w:val="TableAlpha2"/>
            </w:pPr>
            <w:r>
              <w:t>nature of the adjacent land use</w:t>
            </w:r>
          </w:p>
          <w:p w14:paraId="5790222C" w14:textId="168CA481" w:rsidR="00C90D1D" w:rsidRPr="00915FFB" w:rsidRDefault="00C90D1D" w:rsidP="00915FFB">
            <w:pPr>
              <w:pStyle w:val="TableAlpha2"/>
            </w:pPr>
            <w:r>
              <w:t>volume of pedestrians crossing the driveway</w:t>
            </w:r>
          </w:p>
        </w:tc>
        <w:tc>
          <w:tcPr>
            <w:tcW w:w="5103" w:type="dxa"/>
            <w:vMerge/>
          </w:tcPr>
          <w:p w14:paraId="4F7BD304" w14:textId="77777777" w:rsidR="00C90D1D" w:rsidRDefault="00C90D1D" w:rsidP="00D62A08">
            <w:pPr>
              <w:pStyle w:val="TableText"/>
            </w:pPr>
          </w:p>
        </w:tc>
        <w:tc>
          <w:tcPr>
            <w:tcW w:w="4931" w:type="dxa"/>
            <w:vMerge/>
          </w:tcPr>
          <w:p w14:paraId="5C5B22E8" w14:textId="543622F6" w:rsidR="00C90D1D" w:rsidRDefault="00C90D1D" w:rsidP="00C07613">
            <w:pPr>
              <w:pStyle w:val="TableText"/>
            </w:pPr>
          </w:p>
        </w:tc>
      </w:tr>
      <w:tr w:rsidR="00C90D1D" w14:paraId="007A9030" w14:textId="77777777" w:rsidTr="00D62A08">
        <w:tc>
          <w:tcPr>
            <w:tcW w:w="4536" w:type="dxa"/>
          </w:tcPr>
          <w:p w14:paraId="107CBE1A" w14:textId="311FD84E" w:rsidR="00C90D1D" w:rsidRDefault="00C90D1D" w:rsidP="00915FFB">
            <w:pPr>
              <w:pStyle w:val="TableAlpha"/>
            </w:pPr>
            <w:r w:rsidRPr="00915FFB">
              <w:t>It is necessary in the instances where vehicles turn into the kerbside lane that all vehicles are able to complete turning manoeuvres without crossing the road centre line.</w:t>
            </w:r>
          </w:p>
        </w:tc>
        <w:tc>
          <w:tcPr>
            <w:tcW w:w="5103" w:type="dxa"/>
            <w:vMerge/>
          </w:tcPr>
          <w:p w14:paraId="1C95AE6F" w14:textId="52514837" w:rsidR="00C90D1D" w:rsidRDefault="00C90D1D" w:rsidP="006C1A60">
            <w:pPr>
              <w:pStyle w:val="TableText"/>
            </w:pPr>
          </w:p>
        </w:tc>
        <w:tc>
          <w:tcPr>
            <w:tcW w:w="4931" w:type="dxa"/>
            <w:vMerge/>
          </w:tcPr>
          <w:p w14:paraId="16A62F8A" w14:textId="0C3EC5A0" w:rsidR="00C90D1D" w:rsidRDefault="00C90D1D" w:rsidP="00C07613">
            <w:pPr>
              <w:pStyle w:val="TableText"/>
            </w:pPr>
          </w:p>
        </w:tc>
      </w:tr>
      <w:tr w:rsidR="00C90D1D" w14:paraId="552AB5ED" w14:textId="77777777" w:rsidTr="00D62A08">
        <w:tc>
          <w:tcPr>
            <w:tcW w:w="4536" w:type="dxa"/>
          </w:tcPr>
          <w:p w14:paraId="63E74E09" w14:textId="37143C46" w:rsidR="00C90D1D" w:rsidRPr="00915FFB" w:rsidRDefault="00C90D1D" w:rsidP="00915FFB">
            <w:pPr>
              <w:pStyle w:val="TableAlpha"/>
            </w:pPr>
            <w:r w:rsidRPr="00915FFB">
              <w:t xml:space="preserve">For further information in regard to the use of splays and kerb returns refer to Section 6.2.2 of the RMS Guide to </w:t>
            </w:r>
            <w:r w:rsidRPr="00915FFB">
              <w:rPr>
                <w:i/>
                <w:iCs/>
              </w:rPr>
              <w:t>Traffic Generating Developments Version 2.2.(2002).</w:t>
            </w:r>
          </w:p>
        </w:tc>
        <w:tc>
          <w:tcPr>
            <w:tcW w:w="5103" w:type="dxa"/>
            <w:vMerge/>
          </w:tcPr>
          <w:p w14:paraId="3BA99566" w14:textId="77777777" w:rsidR="00C90D1D" w:rsidRDefault="00C90D1D" w:rsidP="006C1A60">
            <w:pPr>
              <w:pStyle w:val="TableText"/>
            </w:pPr>
          </w:p>
        </w:tc>
        <w:tc>
          <w:tcPr>
            <w:tcW w:w="4931" w:type="dxa"/>
            <w:vMerge/>
          </w:tcPr>
          <w:p w14:paraId="73D533A2" w14:textId="68E9A72E" w:rsidR="00C90D1D" w:rsidRDefault="00C90D1D" w:rsidP="00C07613">
            <w:pPr>
              <w:pStyle w:val="TableText"/>
            </w:pPr>
          </w:p>
        </w:tc>
      </w:tr>
      <w:tr w:rsidR="006C1A60" w14:paraId="2FAD7F20" w14:textId="77777777" w:rsidTr="00915FFB">
        <w:tc>
          <w:tcPr>
            <w:tcW w:w="14570" w:type="dxa"/>
            <w:gridSpan w:val="3"/>
            <w:shd w:val="clear" w:color="auto" w:fill="DBDBDC" w:themeFill="accent2" w:themeFillTint="33"/>
          </w:tcPr>
          <w:p w14:paraId="78FA26C0" w14:textId="1E9DE141" w:rsidR="006C1A60" w:rsidRPr="00AE12EF" w:rsidRDefault="006C1A60" w:rsidP="006C1A60">
            <w:pPr>
              <w:pStyle w:val="TableText"/>
              <w:rPr>
                <w:b/>
                <w:bCs/>
              </w:rPr>
            </w:pPr>
          </w:p>
        </w:tc>
      </w:tr>
      <w:tr w:rsidR="006C1A60" w14:paraId="61E2DC19" w14:textId="77777777" w:rsidTr="00D62A08">
        <w:tc>
          <w:tcPr>
            <w:tcW w:w="4536" w:type="dxa"/>
          </w:tcPr>
          <w:p w14:paraId="2DF2B8E1" w14:textId="403AEC94" w:rsidR="006C1A60" w:rsidRDefault="006C1A60" w:rsidP="00A30E20">
            <w:pPr>
              <w:pStyle w:val="TableAlpha"/>
              <w:numPr>
                <w:ilvl w:val="0"/>
                <w:numId w:val="30"/>
              </w:numPr>
            </w:pPr>
          </w:p>
        </w:tc>
        <w:tc>
          <w:tcPr>
            <w:tcW w:w="5103" w:type="dxa"/>
          </w:tcPr>
          <w:p w14:paraId="53AB69CD" w14:textId="7785CB2D" w:rsidR="006C1A60" w:rsidRDefault="006C1A60" w:rsidP="006C1A60">
            <w:pPr>
              <w:pStyle w:val="TableText"/>
            </w:pPr>
          </w:p>
        </w:tc>
        <w:tc>
          <w:tcPr>
            <w:tcW w:w="4931" w:type="dxa"/>
          </w:tcPr>
          <w:p w14:paraId="089BF3C1" w14:textId="2B58AF23" w:rsidR="00AD160F" w:rsidRDefault="00AD160F" w:rsidP="006C1A60">
            <w:pPr>
              <w:pStyle w:val="TableText"/>
            </w:pPr>
          </w:p>
        </w:tc>
      </w:tr>
      <w:tr w:rsidR="00AD160F" w14:paraId="1777BBE6" w14:textId="77777777" w:rsidTr="00D62A08">
        <w:tc>
          <w:tcPr>
            <w:tcW w:w="4536" w:type="dxa"/>
          </w:tcPr>
          <w:p w14:paraId="572292A2" w14:textId="3397B292" w:rsidR="00AD160F" w:rsidRDefault="00AD160F" w:rsidP="00AD160F">
            <w:pPr>
              <w:pStyle w:val="TableAlpha"/>
            </w:pPr>
          </w:p>
        </w:tc>
        <w:tc>
          <w:tcPr>
            <w:tcW w:w="5103" w:type="dxa"/>
          </w:tcPr>
          <w:p w14:paraId="64602BBD" w14:textId="58EF7684" w:rsidR="00AD160F" w:rsidRDefault="00AD160F" w:rsidP="00AD160F">
            <w:pPr>
              <w:pStyle w:val="TableText"/>
            </w:pPr>
          </w:p>
        </w:tc>
        <w:tc>
          <w:tcPr>
            <w:tcW w:w="4931" w:type="dxa"/>
          </w:tcPr>
          <w:p w14:paraId="7BC38950" w14:textId="5DAA488E" w:rsidR="00AD160F" w:rsidRDefault="00AD160F" w:rsidP="00180D7D">
            <w:pPr>
              <w:pStyle w:val="TableText"/>
            </w:pPr>
          </w:p>
        </w:tc>
      </w:tr>
      <w:tr w:rsidR="00AD160F" w14:paraId="5B6A35A6" w14:textId="77777777" w:rsidTr="00D62A08">
        <w:tc>
          <w:tcPr>
            <w:tcW w:w="4536" w:type="dxa"/>
          </w:tcPr>
          <w:p w14:paraId="67702784" w14:textId="01FE83DE" w:rsidR="00AD160F" w:rsidRDefault="00AD160F" w:rsidP="00AD160F">
            <w:pPr>
              <w:pStyle w:val="TableAlpha"/>
            </w:pPr>
          </w:p>
        </w:tc>
        <w:tc>
          <w:tcPr>
            <w:tcW w:w="5103" w:type="dxa"/>
          </w:tcPr>
          <w:p w14:paraId="54A8DF4C" w14:textId="42898A7C" w:rsidR="00AD160F" w:rsidRDefault="00AD160F" w:rsidP="00AD160F">
            <w:pPr>
              <w:pStyle w:val="TableText"/>
            </w:pPr>
          </w:p>
        </w:tc>
        <w:tc>
          <w:tcPr>
            <w:tcW w:w="4931" w:type="dxa"/>
          </w:tcPr>
          <w:p w14:paraId="15F46242" w14:textId="1C158F5A" w:rsidR="00AD160F" w:rsidRDefault="00AD160F" w:rsidP="00180D7D">
            <w:pPr>
              <w:pStyle w:val="TableText"/>
            </w:pPr>
          </w:p>
        </w:tc>
      </w:tr>
      <w:tr w:rsidR="006C1A60" w14:paraId="5DE1FEAA" w14:textId="77777777" w:rsidTr="00915FFB">
        <w:tc>
          <w:tcPr>
            <w:tcW w:w="14570" w:type="dxa"/>
            <w:gridSpan w:val="3"/>
            <w:shd w:val="clear" w:color="auto" w:fill="DBDBDC" w:themeFill="accent2" w:themeFillTint="33"/>
          </w:tcPr>
          <w:p w14:paraId="3FEF6427" w14:textId="02292FEA" w:rsidR="006C1A60" w:rsidRPr="00AE12EF" w:rsidRDefault="006C1A60" w:rsidP="006C1A60">
            <w:pPr>
              <w:pStyle w:val="TableText"/>
              <w:rPr>
                <w:b/>
                <w:bCs/>
              </w:rPr>
            </w:pPr>
          </w:p>
        </w:tc>
      </w:tr>
      <w:tr w:rsidR="006C1A60" w14:paraId="243B6007" w14:textId="77777777" w:rsidTr="00D62A08">
        <w:tc>
          <w:tcPr>
            <w:tcW w:w="4536" w:type="dxa"/>
          </w:tcPr>
          <w:p w14:paraId="41F39913" w14:textId="63CCC8BE" w:rsidR="006C1A60" w:rsidRDefault="006C1A60" w:rsidP="00A30E20">
            <w:pPr>
              <w:pStyle w:val="TableAlpha"/>
              <w:numPr>
                <w:ilvl w:val="0"/>
                <w:numId w:val="31"/>
              </w:numPr>
            </w:pPr>
          </w:p>
        </w:tc>
        <w:tc>
          <w:tcPr>
            <w:tcW w:w="5103" w:type="dxa"/>
          </w:tcPr>
          <w:p w14:paraId="39443529" w14:textId="1B2332F2" w:rsidR="006C1A60" w:rsidRDefault="006C1A60" w:rsidP="006C1A60">
            <w:pPr>
              <w:pStyle w:val="TableText"/>
            </w:pPr>
          </w:p>
        </w:tc>
        <w:tc>
          <w:tcPr>
            <w:tcW w:w="4931" w:type="dxa"/>
          </w:tcPr>
          <w:p w14:paraId="1DF3922C" w14:textId="423E05CD" w:rsidR="006C1A60" w:rsidRDefault="006C1A60" w:rsidP="006C1A60">
            <w:pPr>
              <w:pStyle w:val="TableText"/>
            </w:pPr>
          </w:p>
        </w:tc>
      </w:tr>
      <w:tr w:rsidR="006C1A60" w14:paraId="050059B7" w14:textId="77777777" w:rsidTr="00915FFB">
        <w:tc>
          <w:tcPr>
            <w:tcW w:w="14570" w:type="dxa"/>
            <w:gridSpan w:val="3"/>
            <w:shd w:val="clear" w:color="auto" w:fill="DBDBDC" w:themeFill="accent2" w:themeFillTint="33"/>
          </w:tcPr>
          <w:p w14:paraId="772C9941" w14:textId="40CE6767" w:rsidR="006C1A60" w:rsidRPr="00AE12EF" w:rsidRDefault="00915FFB" w:rsidP="006C1A60">
            <w:pPr>
              <w:pStyle w:val="TableText"/>
              <w:rPr>
                <w:b/>
                <w:bCs/>
              </w:rPr>
            </w:pPr>
            <w:r>
              <w:rPr>
                <w:b/>
                <w:bCs/>
                <w:sz w:val="22"/>
              </w:rPr>
              <w:t>2.2.10.6 Design of Internal Roads associated with Car Park Areas</w:t>
            </w:r>
          </w:p>
        </w:tc>
      </w:tr>
      <w:tr w:rsidR="006C1A60" w14:paraId="7E75DE7F" w14:textId="77777777" w:rsidTr="00D62A08">
        <w:tc>
          <w:tcPr>
            <w:tcW w:w="4536" w:type="dxa"/>
          </w:tcPr>
          <w:p w14:paraId="797E61C5" w14:textId="0338C941" w:rsidR="006C1A60" w:rsidRDefault="00915FFB" w:rsidP="00A30E20">
            <w:pPr>
              <w:pStyle w:val="TableAlpha"/>
              <w:numPr>
                <w:ilvl w:val="0"/>
                <w:numId w:val="32"/>
              </w:numPr>
            </w:pPr>
            <w:r w:rsidRPr="00915FFB">
              <w:t>All internal roads (or access roadways) should be designed for low speed environments. Generally vehicular speeds should be less than 30km/h, but where heavy pedestrian use is expected, design speeds should be 10km/h.</w:t>
            </w:r>
          </w:p>
        </w:tc>
        <w:tc>
          <w:tcPr>
            <w:tcW w:w="5103" w:type="dxa"/>
          </w:tcPr>
          <w:p w14:paraId="0079CDCA" w14:textId="4C74A698" w:rsidR="006C1A60" w:rsidRDefault="006C1A60" w:rsidP="006C1A60">
            <w:pPr>
              <w:pStyle w:val="TableText"/>
            </w:pPr>
          </w:p>
        </w:tc>
        <w:tc>
          <w:tcPr>
            <w:tcW w:w="4931" w:type="dxa"/>
          </w:tcPr>
          <w:p w14:paraId="16A97839" w14:textId="6EB7DC25" w:rsidR="00AD160F" w:rsidRDefault="00C90D1D" w:rsidP="006C1A60">
            <w:pPr>
              <w:pStyle w:val="TableText"/>
            </w:pPr>
            <w:r>
              <w:rPr>
                <w:b/>
                <w:bCs/>
              </w:rPr>
              <w:t>Compliance through consent</w:t>
            </w:r>
          </w:p>
        </w:tc>
      </w:tr>
      <w:tr w:rsidR="00632FD0" w14:paraId="4399B2F7" w14:textId="77777777" w:rsidTr="00D62A08">
        <w:tc>
          <w:tcPr>
            <w:tcW w:w="4536" w:type="dxa"/>
          </w:tcPr>
          <w:p w14:paraId="44BDD79F" w14:textId="5F2217D5" w:rsidR="00632FD0" w:rsidRPr="00915FFB" w:rsidRDefault="00632FD0" w:rsidP="00915FFB">
            <w:pPr>
              <w:pStyle w:val="TableAlpha"/>
            </w:pPr>
            <w:r w:rsidRPr="00915FFB">
              <w:t>For internal roads (or circulation roadways as defined in AS/NZS 2890.1 - 2004) between the driveway and parking area, the recommended minimum carriageway width is 5.5 metres for two way traffic. However where the circumstances of a development justifies it a greater minimum width is likely to be required.</w:t>
            </w:r>
          </w:p>
        </w:tc>
        <w:tc>
          <w:tcPr>
            <w:tcW w:w="5103" w:type="dxa"/>
          </w:tcPr>
          <w:p w14:paraId="4205D005" w14:textId="77777777" w:rsidR="00632FD0" w:rsidRDefault="00632FD0" w:rsidP="006C1A60">
            <w:pPr>
              <w:pStyle w:val="TableText"/>
            </w:pPr>
          </w:p>
        </w:tc>
        <w:tc>
          <w:tcPr>
            <w:tcW w:w="4931" w:type="dxa"/>
          </w:tcPr>
          <w:p w14:paraId="71E3447E" w14:textId="77777777" w:rsidR="00632FD0" w:rsidRPr="00AD160F" w:rsidRDefault="00AD160F" w:rsidP="006C1A60">
            <w:pPr>
              <w:pStyle w:val="TableText"/>
              <w:rPr>
                <w:b/>
                <w:bCs/>
              </w:rPr>
            </w:pPr>
            <w:r w:rsidRPr="00AD160F">
              <w:rPr>
                <w:b/>
                <w:bCs/>
              </w:rPr>
              <w:t>Complies.</w:t>
            </w:r>
          </w:p>
          <w:p w14:paraId="740A20D0" w14:textId="5E351178" w:rsidR="00AD160F" w:rsidRDefault="00AD160F" w:rsidP="006C1A60">
            <w:pPr>
              <w:pStyle w:val="TableText"/>
            </w:pPr>
            <w:r>
              <w:t>Two way traffic on the driveway from Rutledge Street has a width greater than 5.5m.</w:t>
            </w:r>
          </w:p>
        </w:tc>
      </w:tr>
      <w:tr w:rsidR="006C1A60" w14:paraId="64531555" w14:textId="77777777" w:rsidTr="00D62A08">
        <w:tc>
          <w:tcPr>
            <w:tcW w:w="4536" w:type="dxa"/>
          </w:tcPr>
          <w:p w14:paraId="0AE5AC65" w14:textId="23DCD932" w:rsidR="006C1A60" w:rsidRDefault="00632FD0" w:rsidP="00B654F6">
            <w:pPr>
              <w:pStyle w:val="TableAlpha"/>
            </w:pPr>
            <w:r w:rsidRPr="00632FD0">
              <w:t>With complex developments, particularly where shared use of the side roads by cars and service vehicles is anticipated, the design should be determined from a study of the site traffic generation and vehicle characteristics.</w:t>
            </w:r>
          </w:p>
        </w:tc>
        <w:tc>
          <w:tcPr>
            <w:tcW w:w="5103" w:type="dxa"/>
          </w:tcPr>
          <w:p w14:paraId="281354B7" w14:textId="47C76539" w:rsidR="006C1A60" w:rsidRDefault="006C1A60" w:rsidP="006C1A60">
            <w:pPr>
              <w:pStyle w:val="TableText"/>
            </w:pPr>
          </w:p>
        </w:tc>
        <w:tc>
          <w:tcPr>
            <w:tcW w:w="4931" w:type="dxa"/>
          </w:tcPr>
          <w:p w14:paraId="7F19E70A" w14:textId="77777777" w:rsidR="006C1A60" w:rsidRPr="00AD160F" w:rsidRDefault="00AD160F" w:rsidP="006C1A60">
            <w:pPr>
              <w:pStyle w:val="TableText"/>
              <w:rPr>
                <w:b/>
                <w:bCs/>
              </w:rPr>
            </w:pPr>
            <w:r w:rsidRPr="00AD160F">
              <w:rPr>
                <w:b/>
                <w:bCs/>
              </w:rPr>
              <w:t>Complies.</w:t>
            </w:r>
          </w:p>
          <w:p w14:paraId="5B18DFEB" w14:textId="6C513A46" w:rsidR="00AD160F" w:rsidRDefault="00AD160F" w:rsidP="006C1A60">
            <w:pPr>
              <w:pStyle w:val="TableText"/>
            </w:pPr>
            <w:r>
              <w:t>No shared roads proposed.</w:t>
            </w:r>
          </w:p>
        </w:tc>
      </w:tr>
      <w:tr w:rsidR="006C1A60" w14:paraId="09657DA3" w14:textId="77777777" w:rsidTr="001C4E03">
        <w:tc>
          <w:tcPr>
            <w:tcW w:w="14570" w:type="dxa"/>
            <w:gridSpan w:val="3"/>
            <w:shd w:val="clear" w:color="auto" w:fill="B7B7B9" w:themeFill="text2" w:themeFillTint="66"/>
          </w:tcPr>
          <w:p w14:paraId="62664B59" w14:textId="3DD3F8C7" w:rsidR="006C1A60" w:rsidRPr="00AE12EF" w:rsidRDefault="00632FD0" w:rsidP="006C1A60">
            <w:pPr>
              <w:pStyle w:val="TableText"/>
              <w:rPr>
                <w:b/>
                <w:bCs/>
              </w:rPr>
            </w:pPr>
            <w:r>
              <w:rPr>
                <w:b/>
                <w:bCs/>
                <w:sz w:val="22"/>
              </w:rPr>
              <w:t>2.2.11 Traffic Control Within Developments</w:t>
            </w:r>
          </w:p>
        </w:tc>
      </w:tr>
      <w:tr w:rsidR="006C1A60" w14:paraId="44F80E14" w14:textId="77777777" w:rsidTr="00D62A08">
        <w:tc>
          <w:tcPr>
            <w:tcW w:w="4536" w:type="dxa"/>
          </w:tcPr>
          <w:p w14:paraId="36A123D6" w14:textId="2D37D842" w:rsidR="006C1A60" w:rsidRDefault="00632FD0" w:rsidP="00A30E20">
            <w:pPr>
              <w:pStyle w:val="TableAlpha"/>
              <w:numPr>
                <w:ilvl w:val="0"/>
                <w:numId w:val="33"/>
              </w:numPr>
            </w:pPr>
            <w:r w:rsidRPr="00632FD0">
              <w:t xml:space="preserve">Internal roads etc within developments function as public streets and normal road traffic rules apply. Hence these roads are to </w:t>
            </w:r>
            <w:r w:rsidRPr="00632FD0">
              <w:lastRenderedPageBreak/>
              <w:t xml:space="preserve">be managed to minimise conflicts and maximise safety. For more details on this aspect refer to the </w:t>
            </w:r>
            <w:r w:rsidRPr="00632FD0">
              <w:rPr>
                <w:i/>
                <w:iCs/>
              </w:rPr>
              <w:t>Australian Standard AS 1742.11:2016 Manual of Uniform Traffic Control Devices, Part 1 Parking Controls.</w:t>
            </w:r>
          </w:p>
        </w:tc>
        <w:tc>
          <w:tcPr>
            <w:tcW w:w="5103" w:type="dxa"/>
          </w:tcPr>
          <w:p w14:paraId="5EE8A1AE" w14:textId="5960838D" w:rsidR="006C1A60" w:rsidRDefault="006C1A60" w:rsidP="006C1A60">
            <w:pPr>
              <w:pStyle w:val="TableText"/>
            </w:pPr>
          </w:p>
        </w:tc>
        <w:tc>
          <w:tcPr>
            <w:tcW w:w="4931" w:type="dxa"/>
          </w:tcPr>
          <w:p w14:paraId="3FBFC494" w14:textId="77777777" w:rsidR="006C1A60" w:rsidRPr="00AD160F" w:rsidRDefault="00C91157" w:rsidP="006C1A60">
            <w:pPr>
              <w:pStyle w:val="TableText"/>
              <w:rPr>
                <w:b/>
                <w:bCs/>
              </w:rPr>
            </w:pPr>
            <w:r w:rsidRPr="00AD160F">
              <w:rPr>
                <w:b/>
                <w:bCs/>
              </w:rPr>
              <w:t>Complies</w:t>
            </w:r>
          </w:p>
          <w:p w14:paraId="25623E2D" w14:textId="39F95F37" w:rsidR="00C91157" w:rsidRDefault="00AD160F" w:rsidP="006C1A60">
            <w:pPr>
              <w:pStyle w:val="TableText"/>
            </w:pPr>
            <w:r>
              <w:lastRenderedPageBreak/>
              <w:t xml:space="preserve">No internal roads with the development are proposed. Public lanes and driveways operate under normal traffic rules. </w:t>
            </w:r>
          </w:p>
        </w:tc>
      </w:tr>
      <w:tr w:rsidR="006C1A60" w14:paraId="6B587BEB" w14:textId="77777777" w:rsidTr="001C4E03">
        <w:tc>
          <w:tcPr>
            <w:tcW w:w="14570" w:type="dxa"/>
            <w:gridSpan w:val="3"/>
            <w:shd w:val="clear" w:color="auto" w:fill="B7B7B9" w:themeFill="text2" w:themeFillTint="66"/>
          </w:tcPr>
          <w:p w14:paraId="00417CAC" w14:textId="02A6893C" w:rsidR="006C1A60" w:rsidRPr="00BD7A5D" w:rsidRDefault="00632FD0" w:rsidP="006C1A60">
            <w:pPr>
              <w:pStyle w:val="TableText"/>
              <w:rPr>
                <w:b/>
                <w:bCs/>
              </w:rPr>
            </w:pPr>
            <w:r>
              <w:rPr>
                <w:b/>
                <w:bCs/>
                <w:sz w:val="22"/>
              </w:rPr>
              <w:lastRenderedPageBreak/>
              <w:t>2.2.12 Parking Area Design</w:t>
            </w:r>
          </w:p>
        </w:tc>
      </w:tr>
      <w:tr w:rsidR="006C1A60" w14:paraId="5799CEAE" w14:textId="77777777" w:rsidTr="00D62A08">
        <w:tc>
          <w:tcPr>
            <w:tcW w:w="4536" w:type="dxa"/>
          </w:tcPr>
          <w:p w14:paraId="3C96D15F" w14:textId="46DB214B" w:rsidR="006C1A60" w:rsidRDefault="00632FD0" w:rsidP="00A30E20">
            <w:pPr>
              <w:pStyle w:val="TableAlpha"/>
              <w:numPr>
                <w:ilvl w:val="0"/>
                <w:numId w:val="34"/>
              </w:numPr>
            </w:pPr>
            <w:r w:rsidRPr="00632FD0">
              <w:t>Cars and service vehicles, as well as other vehicles (eg. Buses and bicycles) should be accommodated by on-site or off-street parking provision in close proximity to the</w:t>
            </w:r>
            <w:r>
              <w:t xml:space="preserve"> </w:t>
            </w:r>
            <w:r w:rsidRPr="00632FD0">
              <w:t>development. On-street parking or loading/truck zones do not meet these requirements.</w:t>
            </w:r>
          </w:p>
        </w:tc>
        <w:tc>
          <w:tcPr>
            <w:tcW w:w="5103" w:type="dxa"/>
          </w:tcPr>
          <w:p w14:paraId="00EAFA10" w14:textId="71C9B573" w:rsidR="006C1A60" w:rsidRDefault="006C1A60" w:rsidP="006C1A60">
            <w:pPr>
              <w:pStyle w:val="TableText"/>
            </w:pPr>
          </w:p>
        </w:tc>
        <w:tc>
          <w:tcPr>
            <w:tcW w:w="4931" w:type="dxa"/>
          </w:tcPr>
          <w:p w14:paraId="2440B216" w14:textId="77777777" w:rsidR="006C1A60" w:rsidRPr="00061AB5" w:rsidRDefault="00B654F6" w:rsidP="006C1A60">
            <w:pPr>
              <w:pStyle w:val="TableText"/>
              <w:rPr>
                <w:b/>
                <w:bCs/>
              </w:rPr>
            </w:pPr>
            <w:r w:rsidRPr="00061AB5">
              <w:rPr>
                <w:b/>
                <w:bCs/>
              </w:rPr>
              <w:t>Complies.</w:t>
            </w:r>
          </w:p>
          <w:p w14:paraId="67DE5618" w14:textId="403F5287" w:rsidR="00B654F6" w:rsidRDefault="00B654F6" w:rsidP="006C1A60">
            <w:pPr>
              <w:pStyle w:val="TableText"/>
            </w:pPr>
            <w:r>
              <w:t xml:space="preserve">Parking is provided in a basement and off-street </w:t>
            </w:r>
            <w:r w:rsidR="0069553B">
              <w:t xml:space="preserve">at grade </w:t>
            </w:r>
            <w:r>
              <w:t xml:space="preserve">surface parking. </w:t>
            </w:r>
          </w:p>
        </w:tc>
      </w:tr>
      <w:tr w:rsidR="006C1A60" w14:paraId="55147DC8" w14:textId="77777777" w:rsidTr="00D62A08">
        <w:tc>
          <w:tcPr>
            <w:tcW w:w="4536" w:type="dxa"/>
          </w:tcPr>
          <w:p w14:paraId="429ABBA2" w14:textId="0006C3DC" w:rsidR="006C1A60" w:rsidRDefault="00632FD0" w:rsidP="00632FD0">
            <w:pPr>
              <w:pStyle w:val="TableAlpha"/>
            </w:pPr>
            <w:r w:rsidRPr="00632FD0">
              <w:t>The design of these areas and tenant/customer parking areas is to conform to the relevant Australian Standards - Parking Facilities (AS/NZ 2890 series).</w:t>
            </w:r>
          </w:p>
        </w:tc>
        <w:tc>
          <w:tcPr>
            <w:tcW w:w="5103" w:type="dxa"/>
          </w:tcPr>
          <w:p w14:paraId="476516C4" w14:textId="77777777" w:rsidR="00EB63DD" w:rsidRDefault="00EB63DD" w:rsidP="00500013">
            <w:pPr>
              <w:pStyle w:val="TableText"/>
            </w:pPr>
            <w:r>
              <w:t xml:space="preserve">Parking layout certified to meet the relevant Australian Standards. </w:t>
            </w:r>
          </w:p>
          <w:p w14:paraId="451D0833" w14:textId="29914A40" w:rsidR="006C1A60" w:rsidRDefault="006C1A60" w:rsidP="006C1A60">
            <w:pPr>
              <w:pStyle w:val="TableText"/>
            </w:pPr>
          </w:p>
        </w:tc>
        <w:tc>
          <w:tcPr>
            <w:tcW w:w="4931" w:type="dxa"/>
          </w:tcPr>
          <w:p w14:paraId="5DDD11E5" w14:textId="7EE7824E" w:rsidR="0054542C" w:rsidRPr="0054542C" w:rsidRDefault="00C90D1D" w:rsidP="0054542C">
            <w:pPr>
              <w:pStyle w:val="TableText"/>
              <w:rPr>
                <w:b/>
                <w:bCs/>
              </w:rPr>
            </w:pPr>
            <w:r>
              <w:rPr>
                <w:b/>
                <w:bCs/>
              </w:rPr>
              <w:t xml:space="preserve">Compliance through consent </w:t>
            </w:r>
          </w:p>
          <w:p w14:paraId="24C92EC8" w14:textId="127EF375" w:rsidR="00061AB5" w:rsidRDefault="00061AB5" w:rsidP="006C1A60">
            <w:pPr>
              <w:pStyle w:val="TableText"/>
            </w:pPr>
          </w:p>
        </w:tc>
      </w:tr>
      <w:tr w:rsidR="001B263E" w14:paraId="49CE36F5" w14:textId="77777777" w:rsidTr="000C2DD2">
        <w:tc>
          <w:tcPr>
            <w:tcW w:w="14570" w:type="dxa"/>
            <w:gridSpan w:val="3"/>
            <w:shd w:val="clear" w:color="auto" w:fill="B7B7B9" w:themeFill="accent2" w:themeFillTint="66"/>
          </w:tcPr>
          <w:p w14:paraId="5C8A899D" w14:textId="58C4B796" w:rsidR="001B263E" w:rsidRDefault="001B263E" w:rsidP="006C1A60">
            <w:pPr>
              <w:pStyle w:val="TableText"/>
            </w:pPr>
            <w:r>
              <w:rPr>
                <w:b/>
                <w:bCs/>
                <w:sz w:val="22"/>
              </w:rPr>
              <w:t>2.2.13 Construction of Car Parking Areas</w:t>
            </w:r>
          </w:p>
        </w:tc>
      </w:tr>
      <w:tr w:rsidR="001B263E" w14:paraId="2910632A" w14:textId="77777777" w:rsidTr="00D62A08">
        <w:tc>
          <w:tcPr>
            <w:tcW w:w="4536" w:type="dxa"/>
          </w:tcPr>
          <w:p w14:paraId="60E25A9D" w14:textId="77777777" w:rsidR="001B263E" w:rsidRDefault="001B263E" w:rsidP="00A30E20">
            <w:pPr>
              <w:pStyle w:val="TableAlpha"/>
              <w:numPr>
                <w:ilvl w:val="0"/>
                <w:numId w:val="35"/>
              </w:numPr>
            </w:pPr>
            <w:r>
              <w:t>All car parking areas are to be:</w:t>
            </w:r>
          </w:p>
          <w:p w14:paraId="66BB321E" w14:textId="0A577F30" w:rsidR="001B263E" w:rsidRDefault="001B263E" w:rsidP="001B263E">
            <w:pPr>
              <w:pStyle w:val="TableAlpha2"/>
            </w:pPr>
            <w:r>
              <w:t>Suitably paved with concrete, hotmix, bitumen or paving blocks and shall be retained between suitable permanent concrete kerbing. The selected pavement should be constructed to engineering specifications for the particular materials to be used. Alternative surface treatments such as gravel may be acceptable in rural areas.</w:t>
            </w:r>
          </w:p>
          <w:p w14:paraId="644BF435" w14:textId="77777777" w:rsidR="001B263E" w:rsidRDefault="001B263E" w:rsidP="001B263E">
            <w:pPr>
              <w:pStyle w:val="TableAlpha2"/>
            </w:pPr>
            <w:r>
              <w:t>Line marked into bays and sign posted as such in a reasonable permanent manner.</w:t>
            </w:r>
          </w:p>
          <w:p w14:paraId="31783B28" w14:textId="4230E509" w:rsidR="001B263E" w:rsidRDefault="001B263E" w:rsidP="001B263E">
            <w:pPr>
              <w:pStyle w:val="TableAlpha2"/>
            </w:pPr>
            <w:r>
              <w:t xml:space="preserve">Suitably drained - Where driveways or car parking areas fall towards the street alignment, stormwater runoff is to be </w:t>
            </w:r>
            <w:r>
              <w:lastRenderedPageBreak/>
              <w:t>trapped at the property boundary by means of a grated drain and pipe to Council’s street gutter or stormwater system.</w:t>
            </w:r>
          </w:p>
          <w:p w14:paraId="2B1BB7CF" w14:textId="547AE95D" w:rsidR="001B263E" w:rsidRDefault="001B263E" w:rsidP="001B263E">
            <w:pPr>
              <w:pStyle w:val="TableAlpha2"/>
            </w:pPr>
            <w:r>
              <w:t>Landscaping shall be provided in all car parking areas.</w:t>
            </w:r>
          </w:p>
        </w:tc>
        <w:tc>
          <w:tcPr>
            <w:tcW w:w="5103" w:type="dxa"/>
          </w:tcPr>
          <w:p w14:paraId="76125E3D" w14:textId="77777777" w:rsidR="00EB63DD" w:rsidRDefault="00EB63DD" w:rsidP="00500013">
            <w:pPr>
              <w:pStyle w:val="TableText"/>
            </w:pPr>
            <w:r>
              <w:lastRenderedPageBreak/>
              <w:t xml:space="preserve">Car parking areas will be constructed to an appropriate standard. </w:t>
            </w:r>
          </w:p>
          <w:p w14:paraId="39B6536E" w14:textId="77777777" w:rsidR="00EB63DD" w:rsidRDefault="00EB63DD" w:rsidP="00500013">
            <w:pPr>
              <w:pStyle w:val="TableText"/>
            </w:pPr>
            <w:r>
              <w:t xml:space="preserve">Line marking and signposting to a suitable standard. </w:t>
            </w:r>
          </w:p>
          <w:p w14:paraId="22AB73D0" w14:textId="77777777" w:rsidR="00EB63DD" w:rsidRDefault="00EB63DD" w:rsidP="00500013">
            <w:pPr>
              <w:pStyle w:val="TableText"/>
            </w:pPr>
            <w:r>
              <w:t xml:space="preserve">Drained to stormwater system. Refer to drainage plans. </w:t>
            </w:r>
          </w:p>
          <w:p w14:paraId="616738D8" w14:textId="168E3FF4" w:rsidR="001B263E" w:rsidRDefault="00EB63DD" w:rsidP="00500013">
            <w:pPr>
              <w:pStyle w:val="TableText"/>
            </w:pPr>
            <w:r>
              <w:t xml:space="preserve">Shade plantings provided in open parking areas. Refer to concept landscape plan. </w:t>
            </w:r>
          </w:p>
        </w:tc>
        <w:tc>
          <w:tcPr>
            <w:tcW w:w="4931" w:type="dxa"/>
          </w:tcPr>
          <w:p w14:paraId="32258AA8" w14:textId="77777777" w:rsidR="001B263E" w:rsidRPr="00061AB5" w:rsidRDefault="00061AB5" w:rsidP="006C1A60">
            <w:pPr>
              <w:pStyle w:val="TableText"/>
              <w:rPr>
                <w:b/>
                <w:bCs/>
              </w:rPr>
            </w:pPr>
            <w:r w:rsidRPr="00061AB5">
              <w:rPr>
                <w:b/>
                <w:bCs/>
              </w:rPr>
              <w:t>Complies.</w:t>
            </w:r>
          </w:p>
          <w:p w14:paraId="4FFC9C98" w14:textId="4F3F24B3" w:rsidR="00061AB5" w:rsidRDefault="00061AB5" w:rsidP="006C1A60">
            <w:pPr>
              <w:pStyle w:val="TableText"/>
            </w:pPr>
            <w:r>
              <w:t xml:space="preserve">Construction of basement carpark and surface carpark is in accordance with construction requirements regarding pavement types, line parking, draining and landscaping. </w:t>
            </w:r>
          </w:p>
        </w:tc>
      </w:tr>
      <w:tr w:rsidR="001B263E" w14:paraId="30EAB53B" w14:textId="77777777" w:rsidTr="007F3A3E">
        <w:tc>
          <w:tcPr>
            <w:tcW w:w="4536" w:type="dxa"/>
            <w:shd w:val="clear" w:color="auto" w:fill="949496" w:themeFill="accent2" w:themeFillTint="99"/>
          </w:tcPr>
          <w:p w14:paraId="6A5C6EDF" w14:textId="780E175B" w:rsidR="001B263E" w:rsidRDefault="007F3A3E" w:rsidP="006C1A60">
            <w:pPr>
              <w:pStyle w:val="TableText"/>
            </w:pPr>
            <w:r>
              <w:rPr>
                <w:b/>
                <w:bCs/>
                <w:sz w:val="22"/>
              </w:rPr>
              <w:t>2.2.14 Service Vehicle Areas</w:t>
            </w:r>
          </w:p>
        </w:tc>
        <w:tc>
          <w:tcPr>
            <w:tcW w:w="5103" w:type="dxa"/>
            <w:shd w:val="clear" w:color="auto" w:fill="949496" w:themeFill="accent2" w:themeFillTint="99"/>
          </w:tcPr>
          <w:p w14:paraId="77164929" w14:textId="77777777" w:rsidR="001B263E" w:rsidRDefault="001B263E" w:rsidP="006C1A60">
            <w:pPr>
              <w:pStyle w:val="TableText"/>
            </w:pPr>
          </w:p>
        </w:tc>
        <w:tc>
          <w:tcPr>
            <w:tcW w:w="4931" w:type="dxa"/>
            <w:shd w:val="clear" w:color="auto" w:fill="949496" w:themeFill="accent2" w:themeFillTint="99"/>
          </w:tcPr>
          <w:p w14:paraId="2D01962B" w14:textId="77777777" w:rsidR="001B263E" w:rsidRDefault="001B263E" w:rsidP="006C1A60">
            <w:pPr>
              <w:pStyle w:val="TableText"/>
            </w:pPr>
          </w:p>
        </w:tc>
      </w:tr>
      <w:tr w:rsidR="001B263E" w14:paraId="47D5D3DA" w14:textId="77777777" w:rsidTr="007F3A3E">
        <w:tc>
          <w:tcPr>
            <w:tcW w:w="4536" w:type="dxa"/>
            <w:shd w:val="clear" w:color="auto" w:fill="DBDBDC" w:themeFill="accent2" w:themeFillTint="33"/>
          </w:tcPr>
          <w:p w14:paraId="032E1C69" w14:textId="3AD44FC2" w:rsidR="001B263E" w:rsidRDefault="007F3A3E" w:rsidP="006C1A60">
            <w:pPr>
              <w:pStyle w:val="TableText"/>
            </w:pPr>
            <w:r>
              <w:rPr>
                <w:b/>
                <w:bCs/>
                <w:sz w:val="22"/>
              </w:rPr>
              <w:t>2.2.14.1 General Design Principles</w:t>
            </w:r>
          </w:p>
        </w:tc>
        <w:tc>
          <w:tcPr>
            <w:tcW w:w="5103" w:type="dxa"/>
            <w:shd w:val="clear" w:color="auto" w:fill="DBDBDC" w:themeFill="accent2" w:themeFillTint="33"/>
          </w:tcPr>
          <w:p w14:paraId="1B048E83" w14:textId="77777777" w:rsidR="001B263E" w:rsidRDefault="001B263E" w:rsidP="006C1A60">
            <w:pPr>
              <w:pStyle w:val="TableText"/>
            </w:pPr>
          </w:p>
        </w:tc>
        <w:tc>
          <w:tcPr>
            <w:tcW w:w="4931" w:type="dxa"/>
            <w:shd w:val="clear" w:color="auto" w:fill="DBDBDC" w:themeFill="accent2" w:themeFillTint="33"/>
          </w:tcPr>
          <w:p w14:paraId="18DBEB12" w14:textId="77777777" w:rsidR="001B263E" w:rsidRDefault="001B263E" w:rsidP="006C1A60">
            <w:pPr>
              <w:pStyle w:val="TableText"/>
            </w:pPr>
          </w:p>
        </w:tc>
      </w:tr>
      <w:tr w:rsidR="001B263E" w14:paraId="745838D2" w14:textId="77777777" w:rsidTr="00D62A08">
        <w:tc>
          <w:tcPr>
            <w:tcW w:w="4536" w:type="dxa"/>
          </w:tcPr>
          <w:p w14:paraId="0B667565" w14:textId="77777777" w:rsidR="007F3A3E" w:rsidRDefault="007F3A3E" w:rsidP="00A30E20">
            <w:pPr>
              <w:pStyle w:val="TableAlpha"/>
              <w:numPr>
                <w:ilvl w:val="0"/>
                <w:numId w:val="36"/>
              </w:numPr>
            </w:pPr>
            <w:r>
              <w:t>The following design principles, however, are generally applicable to all service vehicle areas:</w:t>
            </w:r>
          </w:p>
          <w:p w14:paraId="74B2481B" w14:textId="21FF4D96" w:rsidR="007F3A3E" w:rsidRDefault="007F3A3E" w:rsidP="007F3A3E">
            <w:pPr>
              <w:pStyle w:val="TableAlpha2"/>
            </w:pPr>
            <w:r>
              <w:t>the layout of the service area should be designed to facilitate operations relevant to the development and to thus discourage on-street loading and unloading</w:t>
            </w:r>
          </w:p>
          <w:p w14:paraId="76851849" w14:textId="2604911A" w:rsidR="007F3A3E" w:rsidRDefault="007F3A3E" w:rsidP="007F3A3E">
            <w:pPr>
              <w:pStyle w:val="TableAlpha2"/>
            </w:pPr>
            <w:r>
              <w:t>service area should be a physically defined location which is not used for other purposes, such as the storage of goods and equipment</w:t>
            </w:r>
          </w:p>
          <w:p w14:paraId="7E34AB1E" w14:textId="77777777" w:rsidR="001B263E" w:rsidRDefault="007F3A3E" w:rsidP="007F3A3E">
            <w:pPr>
              <w:pStyle w:val="TableAlpha2"/>
            </w:pPr>
            <w:r>
              <w:t>separation of service vehicle and car movements should be a design objective, although such an arrangement may not always be feasible</w:t>
            </w:r>
          </w:p>
          <w:p w14:paraId="70764F0B" w14:textId="77777777" w:rsidR="007F3A3E" w:rsidRDefault="007F3A3E" w:rsidP="007F3A3E">
            <w:pPr>
              <w:pStyle w:val="TableAlpha2"/>
            </w:pPr>
            <w:r>
              <w:t>all vehicles are to enter and leave a site in a forward direction</w:t>
            </w:r>
          </w:p>
          <w:p w14:paraId="6B0835F8" w14:textId="03A02CEE" w:rsidR="007F3A3E" w:rsidRDefault="007F3A3E" w:rsidP="007F3A3E">
            <w:pPr>
              <w:pStyle w:val="TableAlpha2"/>
            </w:pPr>
            <w:r>
              <w:t>internal circulation roadways should be adequate for the largest vehicle anticipated to use the site</w:t>
            </w:r>
          </w:p>
        </w:tc>
        <w:tc>
          <w:tcPr>
            <w:tcW w:w="5103" w:type="dxa"/>
          </w:tcPr>
          <w:p w14:paraId="350B52F2" w14:textId="77777777" w:rsidR="001B263E" w:rsidRDefault="001B263E" w:rsidP="006C1A60">
            <w:pPr>
              <w:pStyle w:val="TableText"/>
            </w:pPr>
          </w:p>
        </w:tc>
        <w:tc>
          <w:tcPr>
            <w:tcW w:w="4931" w:type="dxa"/>
          </w:tcPr>
          <w:p w14:paraId="0636A571" w14:textId="2B4E9291" w:rsidR="001B263E" w:rsidRPr="007F38E7" w:rsidRDefault="00C90D1D" w:rsidP="006C1A60">
            <w:pPr>
              <w:pStyle w:val="TableText"/>
              <w:rPr>
                <w:b/>
                <w:bCs/>
              </w:rPr>
            </w:pPr>
            <w:r>
              <w:rPr>
                <w:b/>
                <w:bCs/>
              </w:rPr>
              <w:t xml:space="preserve">Compliance through consent </w:t>
            </w:r>
          </w:p>
          <w:p w14:paraId="28136F66" w14:textId="6E127D8D" w:rsidR="00AD160F" w:rsidRDefault="001A5E2B" w:rsidP="006C1A60">
            <w:pPr>
              <w:pStyle w:val="TableText"/>
            </w:pPr>
            <w:r>
              <w:t xml:space="preserve">The </w:t>
            </w:r>
            <w:r w:rsidR="00E94ECA">
              <w:t>Traffic and Parking Assessment and Statement of Environmental Effects both states that s</w:t>
            </w:r>
            <w:r w:rsidR="00AD160F">
              <w:t xml:space="preserve">ervice vehicle access is </w:t>
            </w:r>
            <w:r w:rsidR="007F38E7">
              <w:t>proposed</w:t>
            </w:r>
            <w:r w:rsidR="00AD160F">
              <w:t xml:space="preserve"> via an access-controlled laneway from Crawford Street</w:t>
            </w:r>
            <w:r w:rsidR="007F38E7">
              <w:t xml:space="preserve"> and is physically defined and separated from public vehicle movements. </w:t>
            </w:r>
          </w:p>
          <w:p w14:paraId="0E79DE77" w14:textId="25D90346" w:rsidR="00AD160F" w:rsidRDefault="007F38E7" w:rsidP="006C1A60">
            <w:pPr>
              <w:pStyle w:val="TableText"/>
            </w:pPr>
            <w:r>
              <w:t xml:space="preserve">Vehicles can enter and exit in a forward motion. </w:t>
            </w:r>
          </w:p>
        </w:tc>
      </w:tr>
      <w:tr w:rsidR="007F3A3E" w14:paraId="705421AA" w14:textId="77777777" w:rsidTr="000C2DD2">
        <w:tc>
          <w:tcPr>
            <w:tcW w:w="14570" w:type="dxa"/>
            <w:gridSpan w:val="3"/>
            <w:shd w:val="clear" w:color="auto" w:fill="DBDBDC" w:themeFill="accent2" w:themeFillTint="33"/>
          </w:tcPr>
          <w:p w14:paraId="664496A5" w14:textId="43FCB286" w:rsidR="007F3A3E" w:rsidRDefault="007F3A3E" w:rsidP="006C1A60">
            <w:pPr>
              <w:pStyle w:val="TableText"/>
            </w:pPr>
            <w:r>
              <w:rPr>
                <w:b/>
                <w:bCs/>
                <w:sz w:val="22"/>
              </w:rPr>
              <w:t>2.2.14.2 Dimensions of Service Areas</w:t>
            </w:r>
          </w:p>
        </w:tc>
      </w:tr>
      <w:tr w:rsidR="001B263E" w14:paraId="16607E37" w14:textId="77777777" w:rsidTr="00D62A08">
        <w:tc>
          <w:tcPr>
            <w:tcW w:w="4536" w:type="dxa"/>
          </w:tcPr>
          <w:p w14:paraId="5EDD78FC" w14:textId="6F61BFB5" w:rsidR="001B263E" w:rsidRDefault="007F3A3E" w:rsidP="00A30E20">
            <w:pPr>
              <w:pStyle w:val="TableAlpha"/>
              <w:numPr>
                <w:ilvl w:val="0"/>
                <w:numId w:val="37"/>
              </w:numPr>
            </w:pPr>
            <w:r>
              <w:t xml:space="preserve">The service vehicle area shall have dimensions to accommodate safely a range </w:t>
            </w:r>
            <w:r>
              <w:lastRenderedPageBreak/>
              <w:t xml:space="preserve">of service vehicle types, as specified in the table below. Please note this list is not exhaustive </w:t>
            </w:r>
          </w:p>
        </w:tc>
        <w:tc>
          <w:tcPr>
            <w:tcW w:w="5103" w:type="dxa"/>
          </w:tcPr>
          <w:p w14:paraId="717753CE" w14:textId="77777777" w:rsidR="001B263E" w:rsidRDefault="001B263E" w:rsidP="006C1A60">
            <w:pPr>
              <w:pStyle w:val="TableText"/>
            </w:pPr>
          </w:p>
        </w:tc>
        <w:tc>
          <w:tcPr>
            <w:tcW w:w="4931" w:type="dxa"/>
          </w:tcPr>
          <w:p w14:paraId="6055AAF6" w14:textId="06A7BC36" w:rsidR="00C07613" w:rsidRPr="0054542C" w:rsidRDefault="00F86F6D" w:rsidP="00C07613">
            <w:pPr>
              <w:pStyle w:val="TableText"/>
              <w:rPr>
                <w:b/>
                <w:bCs/>
              </w:rPr>
            </w:pPr>
            <w:r>
              <w:rPr>
                <w:b/>
                <w:bCs/>
              </w:rPr>
              <w:t xml:space="preserve">Compliance through consent </w:t>
            </w:r>
          </w:p>
          <w:p w14:paraId="518C83B2" w14:textId="6BEC0CAD" w:rsidR="00C07613" w:rsidRDefault="00C07613" w:rsidP="00C07613">
            <w:pPr>
              <w:pStyle w:val="TableText"/>
            </w:pPr>
            <w:r>
              <w:lastRenderedPageBreak/>
              <w:t>The SEE includes details of waste vehicles but this is not demonstrated in the plans.</w:t>
            </w:r>
          </w:p>
          <w:p w14:paraId="09D6F422" w14:textId="77777777" w:rsidR="001B263E" w:rsidRDefault="001B263E" w:rsidP="006C1A60">
            <w:pPr>
              <w:pStyle w:val="TableText"/>
            </w:pPr>
          </w:p>
        </w:tc>
      </w:tr>
      <w:tr w:rsidR="001B263E" w14:paraId="1C2336C7" w14:textId="77777777" w:rsidTr="00D62A08">
        <w:tc>
          <w:tcPr>
            <w:tcW w:w="4536" w:type="dxa"/>
          </w:tcPr>
          <w:p w14:paraId="6F2F6D9F" w14:textId="1404862E" w:rsidR="001B263E" w:rsidRDefault="007F3A3E" w:rsidP="007F3A3E">
            <w:pPr>
              <w:pStyle w:val="TableAlpha"/>
            </w:pPr>
            <w:r>
              <w:lastRenderedPageBreak/>
              <w:t xml:space="preserve">The dimensions of a service bay will depend on the vehicle to be accommodated. Generally, the minimum width should be 3.5 metres. For courier vehicles, standard car parking space dimensions are usually satisfactory. </w:t>
            </w:r>
          </w:p>
        </w:tc>
        <w:tc>
          <w:tcPr>
            <w:tcW w:w="5103" w:type="dxa"/>
          </w:tcPr>
          <w:p w14:paraId="098D5A4F" w14:textId="77777777" w:rsidR="001B263E" w:rsidRDefault="001B263E" w:rsidP="006C1A60">
            <w:pPr>
              <w:pStyle w:val="TableText"/>
            </w:pPr>
          </w:p>
        </w:tc>
        <w:tc>
          <w:tcPr>
            <w:tcW w:w="4931" w:type="dxa"/>
          </w:tcPr>
          <w:p w14:paraId="6849C3EB" w14:textId="77777777" w:rsidR="00180D7D" w:rsidRPr="00180D7D" w:rsidRDefault="00180D7D" w:rsidP="00180D7D">
            <w:pPr>
              <w:pStyle w:val="TableText"/>
              <w:rPr>
                <w:b/>
                <w:bCs/>
              </w:rPr>
            </w:pPr>
            <w:r w:rsidRPr="00180D7D">
              <w:rPr>
                <w:b/>
                <w:bCs/>
              </w:rPr>
              <w:t>Complies.</w:t>
            </w:r>
          </w:p>
          <w:p w14:paraId="5AA4D868" w14:textId="65077B79" w:rsidR="001B263E" w:rsidRDefault="00180D7D" w:rsidP="00180D7D">
            <w:pPr>
              <w:pStyle w:val="TableText"/>
            </w:pPr>
            <w:r>
              <w:t xml:space="preserve">Service laneway is approximately 3.8m wide (based on </w:t>
            </w:r>
            <w:r w:rsidR="003F4C53">
              <w:t>Ground Floor Plan DA-21-02</w:t>
            </w:r>
            <w:r>
              <w:t>).</w:t>
            </w:r>
          </w:p>
          <w:p w14:paraId="0ECE51C2" w14:textId="1E807598" w:rsidR="00180D7D" w:rsidRDefault="00180D7D" w:rsidP="00180D7D">
            <w:pPr>
              <w:pStyle w:val="TableText"/>
            </w:pPr>
            <w:r>
              <w:t>Should be noted on site plan.</w:t>
            </w:r>
          </w:p>
        </w:tc>
      </w:tr>
      <w:tr w:rsidR="001B263E" w14:paraId="6438EE47" w14:textId="77777777" w:rsidTr="00D62A08">
        <w:tc>
          <w:tcPr>
            <w:tcW w:w="4536" w:type="dxa"/>
          </w:tcPr>
          <w:p w14:paraId="4D1BFBB8" w14:textId="36978F50" w:rsidR="001B263E" w:rsidRDefault="007F3A3E" w:rsidP="007F3A3E">
            <w:pPr>
              <w:pStyle w:val="TableAlpha"/>
            </w:pPr>
            <w:r>
              <w:t xml:space="preserve">The service vehicle area shall have dimensions to accommodate safely a range of service vehicle types, as specified in Table 2.1 of AS2890.2 – 2002. </w:t>
            </w:r>
          </w:p>
        </w:tc>
        <w:tc>
          <w:tcPr>
            <w:tcW w:w="5103" w:type="dxa"/>
          </w:tcPr>
          <w:p w14:paraId="4594A546" w14:textId="77777777" w:rsidR="001B263E" w:rsidRDefault="001B263E" w:rsidP="006C1A60">
            <w:pPr>
              <w:pStyle w:val="TableText"/>
            </w:pPr>
          </w:p>
        </w:tc>
        <w:tc>
          <w:tcPr>
            <w:tcW w:w="4931" w:type="dxa"/>
          </w:tcPr>
          <w:p w14:paraId="050475C8" w14:textId="34134525" w:rsidR="0054542C" w:rsidRPr="0054542C" w:rsidRDefault="00F86F6D" w:rsidP="0054542C">
            <w:pPr>
              <w:pStyle w:val="TableText"/>
              <w:rPr>
                <w:b/>
                <w:bCs/>
              </w:rPr>
            </w:pPr>
            <w:r>
              <w:rPr>
                <w:b/>
                <w:bCs/>
              </w:rPr>
              <w:t xml:space="preserve">Compliance through consent </w:t>
            </w:r>
          </w:p>
          <w:p w14:paraId="729549B1" w14:textId="2E1E93BD" w:rsidR="00180D7D" w:rsidRDefault="00180D7D" w:rsidP="002E1F8D">
            <w:pPr>
              <w:pStyle w:val="TableText"/>
            </w:pPr>
          </w:p>
        </w:tc>
      </w:tr>
      <w:tr w:rsidR="001B263E" w14:paraId="37DE3E22" w14:textId="77777777" w:rsidTr="00D62A08">
        <w:tc>
          <w:tcPr>
            <w:tcW w:w="4536" w:type="dxa"/>
          </w:tcPr>
          <w:p w14:paraId="196BD050" w14:textId="08CB5941" w:rsidR="001B263E" w:rsidRDefault="007F3A3E" w:rsidP="007F3A3E">
            <w:pPr>
              <w:pStyle w:val="TableAlpha"/>
            </w:pPr>
            <w:r>
              <w:t xml:space="preserve">For maximum height trucks, a bay height of 5,000mm is recommended where access to the top of the load is required. Bay height should be clear of sprinkler systems, air ducts and other protuberances. </w:t>
            </w:r>
          </w:p>
        </w:tc>
        <w:tc>
          <w:tcPr>
            <w:tcW w:w="5103" w:type="dxa"/>
          </w:tcPr>
          <w:p w14:paraId="58234149" w14:textId="77777777" w:rsidR="001B263E" w:rsidRDefault="001B263E" w:rsidP="006C1A60">
            <w:pPr>
              <w:pStyle w:val="TableText"/>
            </w:pPr>
          </w:p>
        </w:tc>
        <w:tc>
          <w:tcPr>
            <w:tcW w:w="4931" w:type="dxa"/>
          </w:tcPr>
          <w:p w14:paraId="19479070" w14:textId="77777777" w:rsidR="001B263E" w:rsidRPr="00180D7D" w:rsidRDefault="00180D7D" w:rsidP="006C1A60">
            <w:pPr>
              <w:pStyle w:val="TableText"/>
              <w:rPr>
                <w:b/>
                <w:bCs/>
              </w:rPr>
            </w:pPr>
            <w:r w:rsidRPr="00180D7D">
              <w:rPr>
                <w:b/>
                <w:bCs/>
              </w:rPr>
              <w:t>Complies.</w:t>
            </w:r>
          </w:p>
          <w:p w14:paraId="5B8C7E83" w14:textId="161E2B07" w:rsidR="00180D7D" w:rsidRDefault="00180D7D" w:rsidP="006C1A60">
            <w:pPr>
              <w:pStyle w:val="TableText"/>
            </w:pPr>
            <w:r>
              <w:t xml:space="preserve">Service laneway is uncovered. </w:t>
            </w:r>
          </w:p>
        </w:tc>
      </w:tr>
      <w:tr w:rsidR="001B263E" w14:paraId="73AAC4CF" w14:textId="77777777" w:rsidTr="00D62A08">
        <w:tc>
          <w:tcPr>
            <w:tcW w:w="4536" w:type="dxa"/>
          </w:tcPr>
          <w:p w14:paraId="3A35F744" w14:textId="7C2BC7A9" w:rsidR="001B263E" w:rsidRDefault="007F3A3E" w:rsidP="007F3A3E">
            <w:pPr>
              <w:pStyle w:val="TableAlpha"/>
            </w:pPr>
            <w:r>
              <w:t xml:space="preserve">The heights of the loading platform in the service bay and of the service bay itself will vary with vehicle type and loading/unloading methods. The dimensions in Table 4.1 of AS2890.2 - 2002 are a minimum guide to be complied with. </w:t>
            </w:r>
          </w:p>
        </w:tc>
        <w:tc>
          <w:tcPr>
            <w:tcW w:w="5103" w:type="dxa"/>
          </w:tcPr>
          <w:p w14:paraId="435BCFF5" w14:textId="77777777" w:rsidR="001B263E" w:rsidRDefault="001B263E" w:rsidP="006C1A60">
            <w:pPr>
              <w:pStyle w:val="TableText"/>
            </w:pPr>
          </w:p>
        </w:tc>
        <w:tc>
          <w:tcPr>
            <w:tcW w:w="4931" w:type="dxa"/>
          </w:tcPr>
          <w:p w14:paraId="4BB134E8" w14:textId="77777777" w:rsidR="003F4C53" w:rsidRPr="00180D7D" w:rsidRDefault="003F4C53" w:rsidP="003F4C53">
            <w:pPr>
              <w:pStyle w:val="TableText"/>
              <w:rPr>
                <w:b/>
                <w:bCs/>
              </w:rPr>
            </w:pPr>
            <w:r w:rsidRPr="00180D7D">
              <w:rPr>
                <w:b/>
                <w:bCs/>
              </w:rPr>
              <w:t>Complies.</w:t>
            </w:r>
          </w:p>
          <w:p w14:paraId="3445C531" w14:textId="684784AA" w:rsidR="001B263E" w:rsidRDefault="003F4C53" w:rsidP="003F4C53">
            <w:pPr>
              <w:pStyle w:val="TableText"/>
            </w:pPr>
            <w:r>
              <w:t>Service laneway is uncovered.</w:t>
            </w:r>
          </w:p>
        </w:tc>
      </w:tr>
      <w:tr w:rsidR="007F3A3E" w14:paraId="4B6025A2" w14:textId="77777777" w:rsidTr="000C2DD2">
        <w:tc>
          <w:tcPr>
            <w:tcW w:w="14570" w:type="dxa"/>
            <w:gridSpan w:val="3"/>
            <w:shd w:val="clear" w:color="auto" w:fill="DBDBDC" w:themeFill="accent2" w:themeFillTint="33"/>
          </w:tcPr>
          <w:p w14:paraId="0025F622" w14:textId="1A96DF4C" w:rsidR="007F3A3E" w:rsidRDefault="007F3A3E" w:rsidP="006C1A60">
            <w:pPr>
              <w:pStyle w:val="TableText"/>
            </w:pPr>
            <w:r>
              <w:rPr>
                <w:b/>
                <w:bCs/>
                <w:sz w:val="22"/>
              </w:rPr>
              <w:t>2.2.14.3 Service Vehicle Manoeuvring Areas</w:t>
            </w:r>
          </w:p>
        </w:tc>
      </w:tr>
      <w:tr w:rsidR="001B263E" w14:paraId="75006223" w14:textId="77777777" w:rsidTr="00D62A08">
        <w:tc>
          <w:tcPr>
            <w:tcW w:w="4536" w:type="dxa"/>
          </w:tcPr>
          <w:p w14:paraId="20CB0F1F" w14:textId="436A0031" w:rsidR="001B263E" w:rsidRDefault="007F3A3E" w:rsidP="00A30E20">
            <w:pPr>
              <w:pStyle w:val="TableAlpha"/>
              <w:numPr>
                <w:ilvl w:val="0"/>
                <w:numId w:val="38"/>
              </w:numPr>
            </w:pPr>
            <w:r>
              <w:t xml:space="preserve">Manoeuvring areas must comply with the Australian Standard </w:t>
            </w:r>
            <w:r w:rsidRPr="007F3A3E">
              <w:rPr>
                <w:i/>
                <w:iCs/>
              </w:rPr>
              <w:t xml:space="preserve">AS2890.2 -2002 Off-street Commercial Vehicle Facilities </w:t>
            </w:r>
            <w:r>
              <w:t xml:space="preserve">should be used for the design of manoeuvring of service vehicles appropriate to particular developments. This standard also provides design templates for typical commercial and industrial situations </w:t>
            </w:r>
          </w:p>
        </w:tc>
        <w:tc>
          <w:tcPr>
            <w:tcW w:w="5103" w:type="dxa"/>
          </w:tcPr>
          <w:p w14:paraId="290FE271" w14:textId="77777777" w:rsidR="001B263E" w:rsidRDefault="001B263E" w:rsidP="006C1A60">
            <w:pPr>
              <w:pStyle w:val="TableText"/>
            </w:pPr>
          </w:p>
        </w:tc>
        <w:tc>
          <w:tcPr>
            <w:tcW w:w="4931" w:type="dxa"/>
          </w:tcPr>
          <w:p w14:paraId="172734B4" w14:textId="3FE58739" w:rsidR="0054542C" w:rsidRPr="0054542C" w:rsidRDefault="00F86F6D" w:rsidP="0054542C">
            <w:pPr>
              <w:pStyle w:val="TableText"/>
              <w:rPr>
                <w:b/>
                <w:bCs/>
              </w:rPr>
            </w:pPr>
            <w:r>
              <w:rPr>
                <w:b/>
                <w:bCs/>
              </w:rPr>
              <w:t xml:space="preserve">Compliance through consent </w:t>
            </w:r>
          </w:p>
          <w:p w14:paraId="616EDC25" w14:textId="77777777" w:rsidR="001B263E" w:rsidRDefault="001B263E" w:rsidP="002E1F8D">
            <w:pPr>
              <w:pStyle w:val="TableText"/>
            </w:pPr>
          </w:p>
        </w:tc>
      </w:tr>
      <w:tr w:rsidR="00523A3E" w14:paraId="79394EEA" w14:textId="77777777" w:rsidTr="000C2DD2">
        <w:tc>
          <w:tcPr>
            <w:tcW w:w="14570" w:type="dxa"/>
            <w:gridSpan w:val="3"/>
            <w:shd w:val="clear" w:color="auto" w:fill="DBDBDC" w:themeFill="accent2" w:themeFillTint="33"/>
          </w:tcPr>
          <w:p w14:paraId="292B3266" w14:textId="5A148CF6" w:rsidR="00523A3E" w:rsidRDefault="00523A3E" w:rsidP="006C1A60">
            <w:pPr>
              <w:pStyle w:val="TableText"/>
            </w:pPr>
          </w:p>
        </w:tc>
      </w:tr>
      <w:tr w:rsidR="007F3A3E" w14:paraId="3A0A98A9" w14:textId="77777777" w:rsidTr="00D62A08">
        <w:tc>
          <w:tcPr>
            <w:tcW w:w="4536" w:type="dxa"/>
          </w:tcPr>
          <w:p w14:paraId="37BA4B28" w14:textId="37BD9F10" w:rsidR="007F3A3E" w:rsidRPr="003F4C53" w:rsidRDefault="007F3A3E" w:rsidP="003F4C53">
            <w:pPr>
              <w:pStyle w:val="TableAlpha"/>
              <w:numPr>
                <w:ilvl w:val="0"/>
                <w:numId w:val="39"/>
              </w:numPr>
            </w:pPr>
          </w:p>
        </w:tc>
        <w:tc>
          <w:tcPr>
            <w:tcW w:w="5103" w:type="dxa"/>
          </w:tcPr>
          <w:p w14:paraId="00E2035E" w14:textId="77777777" w:rsidR="007F3A3E" w:rsidRDefault="007F3A3E" w:rsidP="006C1A60">
            <w:pPr>
              <w:pStyle w:val="TableText"/>
            </w:pPr>
          </w:p>
        </w:tc>
        <w:tc>
          <w:tcPr>
            <w:tcW w:w="4931" w:type="dxa"/>
          </w:tcPr>
          <w:p w14:paraId="79A7EBB6" w14:textId="427DC18B" w:rsidR="007F3A3E" w:rsidRPr="00044C0B" w:rsidRDefault="007F3A3E" w:rsidP="006C1A60">
            <w:pPr>
              <w:pStyle w:val="TableText"/>
            </w:pPr>
          </w:p>
        </w:tc>
      </w:tr>
      <w:tr w:rsidR="00523A3E" w14:paraId="3142CB1E" w14:textId="77777777" w:rsidTr="000C2DD2">
        <w:tc>
          <w:tcPr>
            <w:tcW w:w="14570" w:type="dxa"/>
            <w:gridSpan w:val="3"/>
            <w:shd w:val="clear" w:color="auto" w:fill="949496" w:themeFill="accent2" w:themeFillTint="99"/>
          </w:tcPr>
          <w:p w14:paraId="73E19CA1" w14:textId="4A8FC82B" w:rsidR="00523A3E" w:rsidRDefault="00523A3E" w:rsidP="006C1A60">
            <w:pPr>
              <w:pStyle w:val="TableText"/>
            </w:pPr>
            <w:r>
              <w:rPr>
                <w:b/>
                <w:bCs/>
                <w:sz w:val="22"/>
              </w:rPr>
              <w:t>2.2.16 Pedestrians and Cyclists</w:t>
            </w:r>
          </w:p>
        </w:tc>
      </w:tr>
      <w:tr w:rsidR="003F4C53" w14:paraId="0442380E" w14:textId="77777777" w:rsidTr="00D62A08">
        <w:tc>
          <w:tcPr>
            <w:tcW w:w="4536" w:type="dxa"/>
          </w:tcPr>
          <w:p w14:paraId="3A3F97EF" w14:textId="168400F4" w:rsidR="003F4C53" w:rsidRPr="00523A3E" w:rsidRDefault="003F4C53" w:rsidP="00A30E20">
            <w:pPr>
              <w:pStyle w:val="TableAlpha"/>
              <w:numPr>
                <w:ilvl w:val="0"/>
                <w:numId w:val="40"/>
              </w:numPr>
            </w:pPr>
            <w:r>
              <w:t xml:space="preserve">Land uses in the Central Business District often generate heavy pedestrian traffic, including general pedestrian traffic across car parking areas. Where driveways are located for entry into underground parking areas, consideration should be given to diverting pedestrians around the entry and exit driveways. Often the organisation of appropriate landscaping at the conflict point of pedestrians and vehicles eradicates this problem. </w:t>
            </w:r>
          </w:p>
        </w:tc>
        <w:tc>
          <w:tcPr>
            <w:tcW w:w="5103" w:type="dxa"/>
            <w:vMerge w:val="restart"/>
          </w:tcPr>
          <w:p w14:paraId="34B48271" w14:textId="1B9145CC" w:rsidR="003F4C53" w:rsidRDefault="003F4C53" w:rsidP="006C1A60">
            <w:pPr>
              <w:pStyle w:val="TableText"/>
            </w:pPr>
            <w:r>
              <w:t>Traffic within the laneway is anticipated to be travelling at slow speeds. Cyclists will access the bike storage via the laneway from Crawford Street. A pedestrian footpath will be located on the other side of the laneway (adjacent to The Q) to minimise conflict.</w:t>
            </w:r>
          </w:p>
        </w:tc>
        <w:tc>
          <w:tcPr>
            <w:tcW w:w="4931" w:type="dxa"/>
          </w:tcPr>
          <w:p w14:paraId="561D95F6" w14:textId="0336A5DE" w:rsidR="0054542C" w:rsidRPr="0054542C" w:rsidRDefault="00F86F6D" w:rsidP="0054542C">
            <w:pPr>
              <w:pStyle w:val="TableText"/>
              <w:rPr>
                <w:b/>
                <w:bCs/>
              </w:rPr>
            </w:pPr>
            <w:r>
              <w:rPr>
                <w:b/>
                <w:bCs/>
              </w:rPr>
              <w:t xml:space="preserve">Noted </w:t>
            </w:r>
          </w:p>
          <w:p w14:paraId="0BFD01FF" w14:textId="77777777" w:rsidR="003F4C53" w:rsidRDefault="003F4C53" w:rsidP="002E1F8D">
            <w:pPr>
              <w:pStyle w:val="TableText"/>
            </w:pPr>
          </w:p>
        </w:tc>
      </w:tr>
      <w:tr w:rsidR="003F4C53" w14:paraId="6B83303D" w14:textId="77777777" w:rsidTr="00D62A08">
        <w:tc>
          <w:tcPr>
            <w:tcW w:w="4536" w:type="dxa"/>
          </w:tcPr>
          <w:p w14:paraId="3AE3EF35" w14:textId="7BFC6542" w:rsidR="003F4C53" w:rsidRPr="00523A3E" w:rsidRDefault="003F4C53" w:rsidP="00523A3E">
            <w:pPr>
              <w:pStyle w:val="TableAlpha"/>
            </w:pPr>
            <w:r>
              <w:t xml:space="preserve">Consideration should also be given to diverting cyclists around the entry and exit driveways. </w:t>
            </w:r>
          </w:p>
        </w:tc>
        <w:tc>
          <w:tcPr>
            <w:tcW w:w="5103" w:type="dxa"/>
            <w:vMerge/>
          </w:tcPr>
          <w:p w14:paraId="555C8EA8" w14:textId="33CB5BE6" w:rsidR="003F4C53" w:rsidRPr="003F4C53" w:rsidRDefault="003F4C53" w:rsidP="003F4C53">
            <w:pPr>
              <w:pStyle w:val="TableText"/>
              <w:rPr>
                <w:sz w:val="18"/>
                <w:szCs w:val="18"/>
              </w:rPr>
            </w:pPr>
          </w:p>
        </w:tc>
        <w:tc>
          <w:tcPr>
            <w:tcW w:w="4931" w:type="dxa"/>
          </w:tcPr>
          <w:p w14:paraId="5AD9AB08" w14:textId="67577703" w:rsidR="003F4C53" w:rsidRDefault="00F86F6D" w:rsidP="00044C0B">
            <w:pPr>
              <w:pStyle w:val="TableText"/>
            </w:pPr>
            <w:r>
              <w:rPr>
                <w:b/>
                <w:bCs/>
              </w:rPr>
              <w:t xml:space="preserve">Noted </w:t>
            </w:r>
            <w:r w:rsidR="00044C0B">
              <w:t xml:space="preserve"> </w:t>
            </w:r>
          </w:p>
        </w:tc>
      </w:tr>
      <w:tr w:rsidR="003F4C53" w14:paraId="452BC259" w14:textId="77777777" w:rsidTr="00D62A08">
        <w:tc>
          <w:tcPr>
            <w:tcW w:w="4536" w:type="dxa"/>
          </w:tcPr>
          <w:p w14:paraId="56A42C8D" w14:textId="294DB874" w:rsidR="003F4C53" w:rsidRDefault="003F4C53" w:rsidP="00523A3E">
            <w:pPr>
              <w:pStyle w:val="TableAlpha"/>
            </w:pPr>
            <w:r>
              <w:t xml:space="preserve">Consideration of the use within developments of shared traffic zones, low speed limit signs and traffic calming devices that cater for pedestrians should be given to improve safety of pedestrians. </w:t>
            </w:r>
          </w:p>
        </w:tc>
        <w:tc>
          <w:tcPr>
            <w:tcW w:w="5103" w:type="dxa"/>
            <w:vMerge/>
          </w:tcPr>
          <w:p w14:paraId="734E079E" w14:textId="77777777" w:rsidR="003F4C53" w:rsidRDefault="003F4C53" w:rsidP="006C1A60">
            <w:pPr>
              <w:pStyle w:val="TableText"/>
            </w:pPr>
          </w:p>
        </w:tc>
        <w:tc>
          <w:tcPr>
            <w:tcW w:w="4931" w:type="dxa"/>
          </w:tcPr>
          <w:p w14:paraId="138735E8" w14:textId="58FD034E" w:rsidR="003F4C53" w:rsidRDefault="00F86F6D" w:rsidP="00964B54">
            <w:pPr>
              <w:pStyle w:val="TableText"/>
            </w:pPr>
            <w:r>
              <w:rPr>
                <w:b/>
                <w:bCs/>
              </w:rPr>
              <w:t xml:space="preserve">Noted </w:t>
            </w:r>
          </w:p>
        </w:tc>
      </w:tr>
      <w:tr w:rsidR="00523A3E" w14:paraId="7F60A979" w14:textId="77777777" w:rsidTr="000C2DD2">
        <w:tc>
          <w:tcPr>
            <w:tcW w:w="14570" w:type="dxa"/>
            <w:gridSpan w:val="3"/>
            <w:shd w:val="clear" w:color="auto" w:fill="949496" w:themeFill="accent2" w:themeFillTint="99"/>
          </w:tcPr>
          <w:p w14:paraId="125FC6F7" w14:textId="59205D06" w:rsidR="00523A3E" w:rsidRDefault="00523A3E" w:rsidP="006C1A60">
            <w:pPr>
              <w:pStyle w:val="TableText"/>
            </w:pPr>
            <w:r>
              <w:rPr>
                <w:b/>
                <w:bCs/>
                <w:sz w:val="22"/>
              </w:rPr>
              <w:t>2.2.17 Bicycle Parking</w:t>
            </w:r>
          </w:p>
        </w:tc>
      </w:tr>
      <w:tr w:rsidR="007F3A3E" w14:paraId="363CD947" w14:textId="77777777" w:rsidTr="00D62A08">
        <w:tc>
          <w:tcPr>
            <w:tcW w:w="4536" w:type="dxa"/>
          </w:tcPr>
          <w:p w14:paraId="21E9DFE5" w14:textId="309D0EC3" w:rsidR="007F3A3E" w:rsidRPr="00523A3E" w:rsidRDefault="00523A3E" w:rsidP="00A30E20">
            <w:pPr>
              <w:pStyle w:val="TableAlpha"/>
              <w:numPr>
                <w:ilvl w:val="0"/>
                <w:numId w:val="41"/>
              </w:numPr>
            </w:pPr>
            <w:r>
              <w:t>Each development is to provide appropriate bicycle parking facilities either on-site or close to the development.</w:t>
            </w:r>
          </w:p>
        </w:tc>
        <w:tc>
          <w:tcPr>
            <w:tcW w:w="5103" w:type="dxa"/>
          </w:tcPr>
          <w:p w14:paraId="243F08F1" w14:textId="77777777" w:rsidR="007F3A3E" w:rsidRDefault="007F3A3E" w:rsidP="006C1A60">
            <w:pPr>
              <w:pStyle w:val="TableText"/>
            </w:pPr>
          </w:p>
        </w:tc>
        <w:tc>
          <w:tcPr>
            <w:tcW w:w="4931" w:type="dxa"/>
          </w:tcPr>
          <w:p w14:paraId="2522CBB7" w14:textId="77777777" w:rsidR="003F4C53" w:rsidRPr="00180D7D" w:rsidRDefault="003F4C53" w:rsidP="003F4C53">
            <w:pPr>
              <w:pStyle w:val="TableText"/>
              <w:rPr>
                <w:b/>
                <w:bCs/>
              </w:rPr>
            </w:pPr>
            <w:r w:rsidRPr="00180D7D">
              <w:rPr>
                <w:b/>
                <w:bCs/>
              </w:rPr>
              <w:t xml:space="preserve">Complies. </w:t>
            </w:r>
          </w:p>
          <w:p w14:paraId="2146DA99" w14:textId="42EDFC8E" w:rsidR="007F3A3E" w:rsidRDefault="003F4C53" w:rsidP="003F4C53">
            <w:pPr>
              <w:pStyle w:val="TableText"/>
            </w:pPr>
            <w:r>
              <w:t>A bicycle parking structure is proposed to accommodate 68 bicycles, located in the proposed civic square.</w:t>
            </w:r>
          </w:p>
        </w:tc>
      </w:tr>
      <w:tr w:rsidR="007F3A3E" w14:paraId="56A42F41" w14:textId="77777777" w:rsidTr="00D62A08">
        <w:tc>
          <w:tcPr>
            <w:tcW w:w="4536" w:type="dxa"/>
          </w:tcPr>
          <w:p w14:paraId="586D7A92" w14:textId="144C20E4" w:rsidR="007F3A3E" w:rsidRPr="00523A3E" w:rsidRDefault="00523A3E" w:rsidP="00523A3E">
            <w:pPr>
              <w:pStyle w:val="TableAlpha"/>
            </w:pPr>
            <w:r>
              <w:t xml:space="preserve">The Australian Standards </w:t>
            </w:r>
            <w:r>
              <w:rPr>
                <w:i/>
                <w:iCs/>
              </w:rPr>
              <w:t xml:space="preserve">AS 2890.3: 2015 Bicycle Parking Facilities </w:t>
            </w:r>
            <w:r>
              <w:t xml:space="preserve">must be complied with. This standard also provides information on the design of bicycle parking facilities. </w:t>
            </w:r>
          </w:p>
        </w:tc>
        <w:tc>
          <w:tcPr>
            <w:tcW w:w="5103" w:type="dxa"/>
          </w:tcPr>
          <w:p w14:paraId="185F30A3" w14:textId="77777777" w:rsidR="00EB63DD" w:rsidRDefault="00EB63DD" w:rsidP="00500013">
            <w:pPr>
              <w:pStyle w:val="TableText"/>
            </w:pPr>
            <w:r>
              <w:t xml:space="preserve">Bicycle parking is provided to AS2890.3 for use by employees of the public administration building. </w:t>
            </w:r>
          </w:p>
          <w:p w14:paraId="7B040F1F" w14:textId="77777777" w:rsidR="007F3A3E" w:rsidRDefault="007F3A3E" w:rsidP="006C1A60">
            <w:pPr>
              <w:pStyle w:val="TableText"/>
            </w:pPr>
          </w:p>
        </w:tc>
        <w:tc>
          <w:tcPr>
            <w:tcW w:w="4931" w:type="dxa"/>
          </w:tcPr>
          <w:p w14:paraId="65C52187" w14:textId="7F23A2AE" w:rsidR="003F4C53" w:rsidRDefault="00F86F6D" w:rsidP="003F4C53">
            <w:pPr>
              <w:pStyle w:val="TableText"/>
            </w:pPr>
            <w:r>
              <w:rPr>
                <w:b/>
                <w:bCs/>
              </w:rPr>
              <w:t xml:space="preserve">Compliance through consent </w:t>
            </w:r>
            <w:r w:rsidR="00037BAD">
              <w:t xml:space="preserve"> </w:t>
            </w:r>
          </w:p>
        </w:tc>
      </w:tr>
      <w:tr w:rsidR="00523A3E" w14:paraId="308C042C" w14:textId="77777777" w:rsidTr="00523A3E">
        <w:tc>
          <w:tcPr>
            <w:tcW w:w="14570" w:type="dxa"/>
            <w:gridSpan w:val="3"/>
            <w:shd w:val="clear" w:color="auto" w:fill="949496" w:themeFill="accent2" w:themeFillTint="99"/>
          </w:tcPr>
          <w:p w14:paraId="4DDCF411" w14:textId="08AFCEB6" w:rsidR="00523A3E" w:rsidRDefault="00523A3E" w:rsidP="006C1A60">
            <w:pPr>
              <w:pStyle w:val="TableText"/>
            </w:pPr>
            <w:r>
              <w:rPr>
                <w:b/>
                <w:bCs/>
                <w:sz w:val="23"/>
                <w:szCs w:val="23"/>
              </w:rPr>
              <w:lastRenderedPageBreak/>
              <w:t>2.3 Environmental Management</w:t>
            </w:r>
          </w:p>
        </w:tc>
      </w:tr>
      <w:tr w:rsidR="00523A3E" w14:paraId="53BD8BBB" w14:textId="77777777" w:rsidTr="000C2DD2">
        <w:tc>
          <w:tcPr>
            <w:tcW w:w="14570" w:type="dxa"/>
            <w:gridSpan w:val="3"/>
            <w:shd w:val="clear" w:color="auto" w:fill="949496" w:themeFill="accent2" w:themeFillTint="99"/>
          </w:tcPr>
          <w:p w14:paraId="1564B697" w14:textId="1C49605D" w:rsidR="00523A3E" w:rsidRDefault="00523A3E" w:rsidP="006C1A60">
            <w:pPr>
              <w:pStyle w:val="TableText"/>
            </w:pPr>
            <w:r>
              <w:rPr>
                <w:b/>
                <w:bCs/>
                <w:sz w:val="22"/>
              </w:rPr>
              <w:t>2.3.3 Energy Efficiency and Conservation</w:t>
            </w:r>
          </w:p>
        </w:tc>
      </w:tr>
      <w:tr w:rsidR="007F3A3E" w14:paraId="5F56D641" w14:textId="77777777" w:rsidTr="00D62A08">
        <w:tc>
          <w:tcPr>
            <w:tcW w:w="4536" w:type="dxa"/>
          </w:tcPr>
          <w:p w14:paraId="799513B0" w14:textId="77777777" w:rsidR="00523A3E" w:rsidRDefault="00523A3E" w:rsidP="00523A3E">
            <w:pPr>
              <w:pStyle w:val="TableText"/>
            </w:pPr>
            <w:r>
              <w:t>Non-Residential</w:t>
            </w:r>
          </w:p>
          <w:p w14:paraId="6B1C0B41" w14:textId="0022E03E" w:rsidR="007F3A3E" w:rsidRDefault="00523A3E" w:rsidP="00A30E20">
            <w:pPr>
              <w:pStyle w:val="TableAlpha"/>
              <w:numPr>
                <w:ilvl w:val="0"/>
                <w:numId w:val="42"/>
              </w:numPr>
            </w:pPr>
            <w:r>
              <w:t>Compliance with Section J of the National Construction Code.</w:t>
            </w:r>
          </w:p>
        </w:tc>
        <w:tc>
          <w:tcPr>
            <w:tcW w:w="5103" w:type="dxa"/>
          </w:tcPr>
          <w:p w14:paraId="29A6375E" w14:textId="77777777" w:rsidR="00EB63DD" w:rsidRDefault="00EB63DD" w:rsidP="00500013">
            <w:pPr>
              <w:pStyle w:val="TableText"/>
            </w:pPr>
            <w:r>
              <w:t xml:space="preserve">The building has been designed to have a 5-star Green Star energy rating. </w:t>
            </w:r>
          </w:p>
          <w:p w14:paraId="68A6E0F2" w14:textId="77777777" w:rsidR="00EB63DD" w:rsidRDefault="00EB63DD" w:rsidP="00500013">
            <w:pPr>
              <w:pStyle w:val="TableText"/>
            </w:pPr>
            <w:r>
              <w:t xml:space="preserve">The QPRC development will be targeting the following NABERS rating (subject to detailed design considerations): </w:t>
            </w:r>
          </w:p>
          <w:p w14:paraId="65108EE9" w14:textId="5E071C6B" w:rsidR="00EB63DD" w:rsidRDefault="00EB63DD" w:rsidP="00037BAD">
            <w:pPr>
              <w:pStyle w:val="TableText"/>
              <w:numPr>
                <w:ilvl w:val="0"/>
                <w:numId w:val="74"/>
              </w:numPr>
            </w:pPr>
            <w:r>
              <w:t xml:space="preserve">5 Star NABERS Energy (Base Building) Commitment Agreement (meaning that performance close to 5.5-star level is targeted - modelling margin to account for unforeseen circumstances) </w:t>
            </w:r>
          </w:p>
          <w:p w14:paraId="4747692B" w14:textId="6EA9134F" w:rsidR="00EB63DD" w:rsidRDefault="00EB63DD" w:rsidP="00037BAD">
            <w:pPr>
              <w:pStyle w:val="TableText"/>
              <w:numPr>
                <w:ilvl w:val="0"/>
                <w:numId w:val="74"/>
              </w:numPr>
            </w:pPr>
            <w:r>
              <w:t xml:space="preserve">5 Star NABERS Energy (Base Building) Operational Rating. </w:t>
            </w:r>
          </w:p>
          <w:p w14:paraId="2DE8B2DA" w14:textId="63E447C3" w:rsidR="007F3A3E" w:rsidRDefault="00EB63DD" w:rsidP="00500013">
            <w:pPr>
              <w:pStyle w:val="TableText"/>
            </w:pPr>
            <w:r>
              <w:t xml:space="preserve">Sustainability report provided at </w:t>
            </w:r>
            <w:r>
              <w:rPr>
                <w:b/>
                <w:bCs/>
              </w:rPr>
              <w:t xml:space="preserve">Appendix H. </w:t>
            </w:r>
          </w:p>
        </w:tc>
        <w:tc>
          <w:tcPr>
            <w:tcW w:w="4931" w:type="dxa"/>
          </w:tcPr>
          <w:p w14:paraId="148685ED" w14:textId="77777777" w:rsidR="007F3A3E" w:rsidRPr="00044C0B" w:rsidRDefault="00044C0B" w:rsidP="006C1A60">
            <w:pPr>
              <w:pStyle w:val="TableText"/>
              <w:rPr>
                <w:b/>
                <w:bCs/>
              </w:rPr>
            </w:pPr>
            <w:r w:rsidRPr="00044C0B">
              <w:rPr>
                <w:b/>
                <w:bCs/>
              </w:rPr>
              <w:t xml:space="preserve">Complies. </w:t>
            </w:r>
          </w:p>
          <w:p w14:paraId="532220F2" w14:textId="06BCD00F" w:rsidR="00044C0B" w:rsidRDefault="00044C0B" w:rsidP="006C1A60">
            <w:pPr>
              <w:pStyle w:val="TableText"/>
            </w:pPr>
          </w:p>
        </w:tc>
      </w:tr>
      <w:tr w:rsidR="007F3A3E" w14:paraId="1E6E7F4C" w14:textId="77777777" w:rsidTr="00523A3E">
        <w:tc>
          <w:tcPr>
            <w:tcW w:w="4536" w:type="dxa"/>
            <w:shd w:val="clear" w:color="auto" w:fill="949496" w:themeFill="accent2" w:themeFillTint="99"/>
          </w:tcPr>
          <w:p w14:paraId="0490FA01" w14:textId="1524DD6B" w:rsidR="007F3A3E" w:rsidRDefault="007F3A3E" w:rsidP="006C1A60">
            <w:pPr>
              <w:pStyle w:val="TableText"/>
            </w:pPr>
          </w:p>
        </w:tc>
        <w:tc>
          <w:tcPr>
            <w:tcW w:w="5103" w:type="dxa"/>
            <w:shd w:val="clear" w:color="auto" w:fill="949496" w:themeFill="accent2" w:themeFillTint="99"/>
          </w:tcPr>
          <w:p w14:paraId="48D3B2F5" w14:textId="77777777" w:rsidR="007F3A3E" w:rsidRDefault="007F3A3E" w:rsidP="006C1A60">
            <w:pPr>
              <w:pStyle w:val="TableText"/>
            </w:pPr>
          </w:p>
        </w:tc>
        <w:tc>
          <w:tcPr>
            <w:tcW w:w="4931" w:type="dxa"/>
            <w:shd w:val="clear" w:color="auto" w:fill="949496" w:themeFill="accent2" w:themeFillTint="99"/>
          </w:tcPr>
          <w:p w14:paraId="7C853C7D" w14:textId="77777777" w:rsidR="007F3A3E" w:rsidRDefault="007F3A3E" w:rsidP="006C1A60">
            <w:pPr>
              <w:pStyle w:val="TableText"/>
            </w:pPr>
          </w:p>
        </w:tc>
      </w:tr>
      <w:tr w:rsidR="007F3A3E" w14:paraId="5C8EC5D2" w14:textId="77777777" w:rsidTr="00D62A08">
        <w:tc>
          <w:tcPr>
            <w:tcW w:w="4536" w:type="dxa"/>
          </w:tcPr>
          <w:p w14:paraId="0B83CEEB" w14:textId="4BC25322" w:rsidR="007F3A3E" w:rsidRPr="00523A3E" w:rsidRDefault="007F3A3E" w:rsidP="00A30E20">
            <w:pPr>
              <w:pStyle w:val="TableAlpha"/>
              <w:numPr>
                <w:ilvl w:val="0"/>
                <w:numId w:val="43"/>
              </w:numPr>
            </w:pPr>
          </w:p>
        </w:tc>
        <w:tc>
          <w:tcPr>
            <w:tcW w:w="5103" w:type="dxa"/>
          </w:tcPr>
          <w:p w14:paraId="5AA5CABC" w14:textId="7640C023" w:rsidR="007F3A3E" w:rsidRDefault="007F3A3E" w:rsidP="00EB63DD">
            <w:pPr>
              <w:pStyle w:val="TableText"/>
            </w:pPr>
          </w:p>
        </w:tc>
        <w:tc>
          <w:tcPr>
            <w:tcW w:w="4931" w:type="dxa"/>
          </w:tcPr>
          <w:p w14:paraId="255F856F" w14:textId="125105D5" w:rsidR="00044C0B" w:rsidRDefault="00044C0B" w:rsidP="006C1A60">
            <w:pPr>
              <w:pStyle w:val="TableText"/>
            </w:pPr>
          </w:p>
        </w:tc>
      </w:tr>
      <w:tr w:rsidR="007F3A3E" w14:paraId="1C979CC2" w14:textId="77777777" w:rsidTr="00D62A08">
        <w:tc>
          <w:tcPr>
            <w:tcW w:w="4536" w:type="dxa"/>
          </w:tcPr>
          <w:p w14:paraId="462621B2" w14:textId="7FC5C030" w:rsidR="007F3A3E" w:rsidRPr="00523A3E" w:rsidRDefault="007F3A3E" w:rsidP="00523A3E">
            <w:pPr>
              <w:pStyle w:val="TableAlpha"/>
            </w:pPr>
          </w:p>
        </w:tc>
        <w:tc>
          <w:tcPr>
            <w:tcW w:w="5103" w:type="dxa"/>
          </w:tcPr>
          <w:p w14:paraId="3FE789F2" w14:textId="2E9EFF3E" w:rsidR="007F3A3E" w:rsidRDefault="007F3A3E" w:rsidP="006C1A60">
            <w:pPr>
              <w:pStyle w:val="TableText"/>
            </w:pPr>
          </w:p>
        </w:tc>
        <w:tc>
          <w:tcPr>
            <w:tcW w:w="4931" w:type="dxa"/>
          </w:tcPr>
          <w:p w14:paraId="30A3F26A" w14:textId="606ADC5C" w:rsidR="007F3A3E" w:rsidRPr="00044C0B" w:rsidRDefault="007F3A3E" w:rsidP="006C1A60">
            <w:pPr>
              <w:pStyle w:val="TableText"/>
              <w:rPr>
                <w:b/>
                <w:bCs/>
              </w:rPr>
            </w:pPr>
          </w:p>
        </w:tc>
      </w:tr>
      <w:tr w:rsidR="00523A3E" w14:paraId="7074E24A" w14:textId="77777777" w:rsidTr="000C2DD2">
        <w:tc>
          <w:tcPr>
            <w:tcW w:w="14570" w:type="dxa"/>
            <w:gridSpan w:val="3"/>
            <w:shd w:val="clear" w:color="auto" w:fill="949496" w:themeFill="accent2" w:themeFillTint="99"/>
          </w:tcPr>
          <w:p w14:paraId="6D3A4BA5" w14:textId="18AA5FC5" w:rsidR="00523A3E" w:rsidRDefault="00523A3E" w:rsidP="006C1A60">
            <w:pPr>
              <w:pStyle w:val="TableText"/>
            </w:pPr>
            <w:r>
              <w:rPr>
                <w:b/>
                <w:bCs/>
                <w:sz w:val="22"/>
              </w:rPr>
              <w:t>2.3.5 Waste and Recycling</w:t>
            </w:r>
          </w:p>
        </w:tc>
      </w:tr>
      <w:tr w:rsidR="007F3A3E" w14:paraId="6B143000" w14:textId="77777777" w:rsidTr="00D62A08">
        <w:tc>
          <w:tcPr>
            <w:tcW w:w="4536" w:type="dxa"/>
          </w:tcPr>
          <w:p w14:paraId="2B9CDA85" w14:textId="77777777" w:rsidR="00523A3E" w:rsidRDefault="00523A3E" w:rsidP="00523A3E">
            <w:pPr>
              <w:pStyle w:val="TableText"/>
            </w:pPr>
            <w:r>
              <w:t>Non Residential Development</w:t>
            </w:r>
          </w:p>
          <w:p w14:paraId="3B77F091" w14:textId="1F71D64B" w:rsidR="00523A3E" w:rsidRDefault="00523A3E" w:rsidP="00037BAD">
            <w:pPr>
              <w:pStyle w:val="TableAlpha"/>
              <w:numPr>
                <w:ilvl w:val="0"/>
                <w:numId w:val="75"/>
              </w:numPr>
            </w:pPr>
            <w:r>
              <w:t>Development applications for all non- residential development must be accompanied by a waste management plan that addresses:</w:t>
            </w:r>
          </w:p>
          <w:p w14:paraId="0354B2C3" w14:textId="37BE7CBB" w:rsidR="00523A3E" w:rsidRDefault="00523A3E" w:rsidP="00523A3E">
            <w:pPr>
              <w:pStyle w:val="TableAlpha2"/>
            </w:pPr>
            <w:r>
              <w:t>Best practice recycling and reuse of construction and demolition materials.</w:t>
            </w:r>
          </w:p>
          <w:p w14:paraId="635A8C46" w14:textId="151AC5B2" w:rsidR="00523A3E" w:rsidRDefault="00523A3E" w:rsidP="00523A3E">
            <w:pPr>
              <w:pStyle w:val="TableAlpha2"/>
            </w:pPr>
            <w:r>
              <w:t>Use of sustainable building materials that can be reused or recycled at the end of their life.</w:t>
            </w:r>
          </w:p>
          <w:p w14:paraId="23C4446F" w14:textId="4F44CAF9" w:rsidR="00523A3E" w:rsidRDefault="00523A3E" w:rsidP="00523A3E">
            <w:pPr>
              <w:pStyle w:val="TableAlpha2"/>
            </w:pPr>
            <w:r>
              <w:lastRenderedPageBreak/>
              <w:t>Handling methods and location of waste storage areas such that handling and storage has no negative impact on the streetscape, building presentation or amenity of occupants and pedestrians.</w:t>
            </w:r>
          </w:p>
          <w:p w14:paraId="3B820920" w14:textId="06BEC26C" w:rsidR="00523A3E" w:rsidRDefault="00523A3E" w:rsidP="00523A3E">
            <w:pPr>
              <w:pStyle w:val="TableAlpha2"/>
            </w:pPr>
            <w:r>
              <w:t>Storage areas need to be of sufficient size to store and provide access to bins capable of dealing with the types and quantities of waste for the development. For example, a small shop or office may be able to be serviced by Council’s normal 240L kerbside collection service. At the opposite extreme a supermarket may require space for a paper/cardboard compactor and storage of bales produced, multiple overhead lift bulk containers and other containers for recyclables.</w:t>
            </w:r>
          </w:p>
          <w:p w14:paraId="06A4F050" w14:textId="13B63893" w:rsidR="00523A3E" w:rsidRDefault="00523A3E" w:rsidP="00523A3E">
            <w:pPr>
              <w:pStyle w:val="TableAlpha2"/>
            </w:pPr>
            <w:r>
              <w:t>Storage areas for commercial premises which have larger quantities of putrescible waste e.g. food premises or supermarkets need to be provided with wash down facilities connected to sewer. These storage areas need to be roofed to prevent ingress of stormwater to the sewerage system.</w:t>
            </w:r>
          </w:p>
          <w:p w14:paraId="3E700BA8" w14:textId="44FC0806" w:rsidR="007F3A3E" w:rsidRDefault="00523A3E" w:rsidP="00523A3E">
            <w:pPr>
              <w:pStyle w:val="TableAlpha2"/>
            </w:pPr>
            <w:r>
              <w:t>Procedures for the ongoing sustainable management of green waste; garbage and recyclables including glass, metals and paper; including access, estimated volumes; required bin capacity and onsite storage requirements.</w:t>
            </w:r>
          </w:p>
        </w:tc>
        <w:tc>
          <w:tcPr>
            <w:tcW w:w="5103" w:type="dxa"/>
          </w:tcPr>
          <w:p w14:paraId="73C273D5" w14:textId="77777777" w:rsidR="00EB63DD" w:rsidRDefault="00EB63DD" w:rsidP="00500013">
            <w:pPr>
              <w:pStyle w:val="TableText"/>
            </w:pPr>
            <w:r>
              <w:lastRenderedPageBreak/>
              <w:t xml:space="preserve">Waste management plan is provided. </w:t>
            </w:r>
          </w:p>
          <w:p w14:paraId="6B7C10CF" w14:textId="05E2A5FF" w:rsidR="007F3A3E" w:rsidRDefault="00EB63DD" w:rsidP="00500013">
            <w:pPr>
              <w:pStyle w:val="TableText"/>
            </w:pPr>
            <w:r>
              <w:t>A waste room provides sufficient room to accommodate office waste from both public administration uses. Services area on ground floor is accessible from laneway and is sufficient to allow an MRV waste collection vehicle to enter and exist in a forward direction.</w:t>
            </w:r>
          </w:p>
        </w:tc>
        <w:tc>
          <w:tcPr>
            <w:tcW w:w="4931" w:type="dxa"/>
          </w:tcPr>
          <w:p w14:paraId="119DBACE" w14:textId="78C798C7" w:rsidR="007F3A3E" w:rsidRDefault="00F86F6D" w:rsidP="00A812B4">
            <w:pPr>
              <w:pStyle w:val="TableText"/>
            </w:pPr>
            <w:r>
              <w:rPr>
                <w:b/>
                <w:bCs/>
              </w:rPr>
              <w:t xml:space="preserve">Compliance through consent </w:t>
            </w:r>
          </w:p>
        </w:tc>
      </w:tr>
      <w:tr w:rsidR="00523A3E" w14:paraId="118B09EF" w14:textId="77777777" w:rsidTr="000C2DD2">
        <w:tc>
          <w:tcPr>
            <w:tcW w:w="14570" w:type="dxa"/>
            <w:gridSpan w:val="3"/>
            <w:shd w:val="clear" w:color="auto" w:fill="949496" w:themeFill="accent2" w:themeFillTint="99"/>
          </w:tcPr>
          <w:p w14:paraId="48FC490B" w14:textId="0E5CB10B" w:rsidR="00523A3E" w:rsidRDefault="00523A3E" w:rsidP="006C1A60">
            <w:pPr>
              <w:pStyle w:val="TableText"/>
            </w:pPr>
            <w:r>
              <w:rPr>
                <w:b/>
                <w:bCs/>
                <w:sz w:val="22"/>
              </w:rPr>
              <w:t>2.3.6 Noise and Vibration</w:t>
            </w:r>
          </w:p>
        </w:tc>
      </w:tr>
      <w:tr w:rsidR="00523A3E" w14:paraId="5390FBEF" w14:textId="77777777" w:rsidTr="00D62A08">
        <w:tc>
          <w:tcPr>
            <w:tcW w:w="4536" w:type="dxa"/>
          </w:tcPr>
          <w:p w14:paraId="2A78D282" w14:textId="4C30A4F2" w:rsidR="00523A3E" w:rsidRPr="00523A3E" w:rsidRDefault="00523A3E" w:rsidP="00A30E20">
            <w:pPr>
              <w:pStyle w:val="TableAlpha"/>
              <w:numPr>
                <w:ilvl w:val="0"/>
                <w:numId w:val="44"/>
              </w:numPr>
            </w:pPr>
            <w:r>
              <w:t xml:space="preserve">Development should be designed to minimise the potential for offensive noise. </w:t>
            </w:r>
          </w:p>
        </w:tc>
        <w:tc>
          <w:tcPr>
            <w:tcW w:w="5103" w:type="dxa"/>
          </w:tcPr>
          <w:p w14:paraId="385842A1" w14:textId="77777777" w:rsidR="00EB63DD" w:rsidRDefault="00EB63DD" w:rsidP="00500013">
            <w:pPr>
              <w:pStyle w:val="TableText"/>
            </w:pPr>
            <w:r>
              <w:t xml:space="preserve">Plant and machinery is to be located on the rooftop. Due to distance and height above nearest residential </w:t>
            </w:r>
            <w:r>
              <w:lastRenderedPageBreak/>
              <w:t xml:space="preserve">receivers, it is not anticipated an increase of more than 5dBA to ambient noise levels. </w:t>
            </w:r>
          </w:p>
          <w:p w14:paraId="783092ED" w14:textId="77777777" w:rsidR="00523A3E" w:rsidRDefault="00523A3E" w:rsidP="006C1A60">
            <w:pPr>
              <w:pStyle w:val="TableText"/>
            </w:pPr>
          </w:p>
        </w:tc>
        <w:tc>
          <w:tcPr>
            <w:tcW w:w="4931" w:type="dxa"/>
          </w:tcPr>
          <w:p w14:paraId="6737CFD7" w14:textId="77777777" w:rsidR="00523A3E" w:rsidRPr="00044C0B" w:rsidRDefault="002D0C4F" w:rsidP="006C1A60">
            <w:pPr>
              <w:pStyle w:val="TableText"/>
              <w:rPr>
                <w:b/>
                <w:bCs/>
              </w:rPr>
            </w:pPr>
            <w:r w:rsidRPr="00044C0B">
              <w:rPr>
                <w:b/>
                <w:bCs/>
              </w:rPr>
              <w:lastRenderedPageBreak/>
              <w:t>Complies.</w:t>
            </w:r>
          </w:p>
          <w:p w14:paraId="1E946F3B" w14:textId="77777777" w:rsidR="002D0C4F" w:rsidRDefault="002D0C4F" w:rsidP="006C1A60">
            <w:pPr>
              <w:pStyle w:val="TableText"/>
            </w:pPr>
            <w:r>
              <w:lastRenderedPageBreak/>
              <w:t xml:space="preserve">The proposed development is not considered to be a noise generating use. The location of plant on the rooftop is appropriate. </w:t>
            </w:r>
          </w:p>
          <w:p w14:paraId="7A8175CC" w14:textId="3DF5D66A" w:rsidR="002D0C4F" w:rsidRDefault="002D0C4F" w:rsidP="00A34259">
            <w:pPr>
              <w:pStyle w:val="TableText"/>
            </w:pPr>
            <w:r>
              <w:t xml:space="preserve">The proposal integrates with the existing entertainment venue of The Q but does not expand these facilities. </w:t>
            </w:r>
          </w:p>
        </w:tc>
      </w:tr>
      <w:tr w:rsidR="00523A3E" w14:paraId="7F0821D9" w14:textId="77777777" w:rsidTr="00D62A08">
        <w:tc>
          <w:tcPr>
            <w:tcW w:w="4536" w:type="dxa"/>
          </w:tcPr>
          <w:p w14:paraId="39D5D7D4" w14:textId="6E46CA9B" w:rsidR="00523A3E" w:rsidRDefault="00523A3E" w:rsidP="00A30E20">
            <w:pPr>
              <w:pStyle w:val="TableAlpha"/>
            </w:pPr>
          </w:p>
        </w:tc>
        <w:tc>
          <w:tcPr>
            <w:tcW w:w="5103" w:type="dxa"/>
          </w:tcPr>
          <w:p w14:paraId="5BC5B668" w14:textId="77777777" w:rsidR="00523A3E" w:rsidRDefault="00523A3E" w:rsidP="006C1A60">
            <w:pPr>
              <w:pStyle w:val="TableText"/>
            </w:pPr>
          </w:p>
        </w:tc>
        <w:tc>
          <w:tcPr>
            <w:tcW w:w="4931" w:type="dxa"/>
          </w:tcPr>
          <w:p w14:paraId="4AF39E2E" w14:textId="26589D33" w:rsidR="00044C0B" w:rsidRDefault="00044C0B" w:rsidP="006C1A60">
            <w:pPr>
              <w:pStyle w:val="TableText"/>
            </w:pPr>
          </w:p>
        </w:tc>
      </w:tr>
      <w:tr w:rsidR="00523A3E" w14:paraId="0A288FB5" w14:textId="77777777" w:rsidTr="00D62A08">
        <w:tc>
          <w:tcPr>
            <w:tcW w:w="4536" w:type="dxa"/>
          </w:tcPr>
          <w:p w14:paraId="1AC04B2F" w14:textId="309386EB" w:rsidR="00523A3E" w:rsidRDefault="00523A3E" w:rsidP="00523A3E">
            <w:pPr>
              <w:pStyle w:val="TableAlpha"/>
            </w:pPr>
          </w:p>
        </w:tc>
        <w:tc>
          <w:tcPr>
            <w:tcW w:w="5103" w:type="dxa"/>
          </w:tcPr>
          <w:p w14:paraId="5E10F95A" w14:textId="77777777" w:rsidR="00523A3E" w:rsidRDefault="00523A3E" w:rsidP="006C1A60">
            <w:pPr>
              <w:pStyle w:val="TableText"/>
            </w:pPr>
          </w:p>
        </w:tc>
        <w:tc>
          <w:tcPr>
            <w:tcW w:w="4931" w:type="dxa"/>
          </w:tcPr>
          <w:p w14:paraId="4C3AE323" w14:textId="71806F37" w:rsidR="00044C0B" w:rsidRDefault="00044C0B" w:rsidP="006C1A60">
            <w:pPr>
              <w:pStyle w:val="TableText"/>
            </w:pPr>
          </w:p>
        </w:tc>
      </w:tr>
      <w:tr w:rsidR="00523A3E" w14:paraId="5548C04E" w14:textId="77777777" w:rsidTr="00D62A08">
        <w:tc>
          <w:tcPr>
            <w:tcW w:w="4536" w:type="dxa"/>
          </w:tcPr>
          <w:p w14:paraId="53355284" w14:textId="5AD7BDAA" w:rsidR="00523A3E" w:rsidRDefault="00523A3E" w:rsidP="00523A3E">
            <w:pPr>
              <w:pStyle w:val="TableAlpha2"/>
            </w:pPr>
          </w:p>
        </w:tc>
        <w:tc>
          <w:tcPr>
            <w:tcW w:w="5103" w:type="dxa"/>
          </w:tcPr>
          <w:p w14:paraId="3FAB6905" w14:textId="77777777" w:rsidR="00523A3E" w:rsidRDefault="00523A3E" w:rsidP="006C1A60">
            <w:pPr>
              <w:pStyle w:val="TableText"/>
            </w:pPr>
          </w:p>
        </w:tc>
        <w:tc>
          <w:tcPr>
            <w:tcW w:w="4931" w:type="dxa"/>
          </w:tcPr>
          <w:p w14:paraId="2DE8C134" w14:textId="45B8A678" w:rsidR="00044C0B" w:rsidRDefault="00044C0B" w:rsidP="006C1A60">
            <w:pPr>
              <w:pStyle w:val="TableText"/>
            </w:pPr>
          </w:p>
        </w:tc>
      </w:tr>
      <w:tr w:rsidR="00523A3E" w14:paraId="43FEC960" w14:textId="77777777" w:rsidTr="00D62A08">
        <w:tc>
          <w:tcPr>
            <w:tcW w:w="4536" w:type="dxa"/>
          </w:tcPr>
          <w:p w14:paraId="08A01F8F" w14:textId="0755F795" w:rsidR="00523A3E" w:rsidRDefault="00F86F6D" w:rsidP="000B6352">
            <w:pPr>
              <w:pStyle w:val="TableAlpha"/>
              <w:numPr>
                <w:ilvl w:val="0"/>
                <w:numId w:val="0"/>
              </w:numPr>
              <w:ind w:left="113"/>
            </w:pPr>
            <w:r>
              <w:t>e.</w:t>
            </w:r>
            <w:r w:rsidR="00523A3E">
              <w:t>Commercial and retail developments, or mixed use developments, should have suitably located and designed goods delivery and garbage collection areas, vehicle entry and exits and other noise sources so that amenity of residents both within the development and in nearby buildings is reasonably protected.</w:t>
            </w:r>
          </w:p>
        </w:tc>
        <w:tc>
          <w:tcPr>
            <w:tcW w:w="5103" w:type="dxa"/>
          </w:tcPr>
          <w:p w14:paraId="01E75C43" w14:textId="77777777" w:rsidR="00523A3E" w:rsidRDefault="00523A3E" w:rsidP="006C1A60">
            <w:pPr>
              <w:pStyle w:val="TableText"/>
            </w:pPr>
          </w:p>
        </w:tc>
        <w:tc>
          <w:tcPr>
            <w:tcW w:w="4931" w:type="dxa"/>
          </w:tcPr>
          <w:p w14:paraId="2B0259AD" w14:textId="77777777" w:rsidR="00523A3E" w:rsidRPr="00044C0B" w:rsidRDefault="00B1282F" w:rsidP="006C1A60">
            <w:pPr>
              <w:pStyle w:val="TableText"/>
              <w:rPr>
                <w:b/>
                <w:bCs/>
              </w:rPr>
            </w:pPr>
            <w:r w:rsidRPr="00044C0B">
              <w:rPr>
                <w:b/>
                <w:bCs/>
              </w:rPr>
              <w:t>Complies</w:t>
            </w:r>
          </w:p>
          <w:p w14:paraId="23CB295E" w14:textId="47B46401" w:rsidR="00B1282F" w:rsidRDefault="00B1282F" w:rsidP="006C1A60">
            <w:pPr>
              <w:pStyle w:val="TableText"/>
            </w:pPr>
            <w:r>
              <w:t>Proposed siting allows collection vehicles to move in one forward direction, which is acoustically favourable. This activity also generally occurs at all neighbouring premises and not unique to the proposed development.</w:t>
            </w:r>
          </w:p>
        </w:tc>
      </w:tr>
      <w:tr w:rsidR="00523A3E" w14:paraId="3C7C353D" w14:textId="77777777" w:rsidTr="00D62A08">
        <w:tc>
          <w:tcPr>
            <w:tcW w:w="4536" w:type="dxa"/>
          </w:tcPr>
          <w:p w14:paraId="7253C44D" w14:textId="544D8E44" w:rsidR="00523A3E" w:rsidRDefault="00F86F6D" w:rsidP="000B6352">
            <w:pPr>
              <w:pStyle w:val="TableAlpha"/>
              <w:numPr>
                <w:ilvl w:val="0"/>
                <w:numId w:val="0"/>
              </w:numPr>
              <w:ind w:left="397"/>
            </w:pPr>
            <w:r>
              <w:t>f.</w:t>
            </w:r>
            <w:r w:rsidR="00112147">
              <w:t>To ensure development is designed so noise and vibration from new businesses, light industrial and leisure/cultural/entertainment venues and other noise generating activities do not unacceptably affect the amenity of nearby residential and other noise or vibration sensitive uses.</w:t>
            </w:r>
          </w:p>
        </w:tc>
        <w:tc>
          <w:tcPr>
            <w:tcW w:w="5103" w:type="dxa"/>
          </w:tcPr>
          <w:p w14:paraId="129EB304" w14:textId="77777777" w:rsidR="00523A3E" w:rsidRDefault="00523A3E" w:rsidP="006C1A60">
            <w:pPr>
              <w:pStyle w:val="TableText"/>
            </w:pPr>
          </w:p>
        </w:tc>
        <w:tc>
          <w:tcPr>
            <w:tcW w:w="4931" w:type="dxa"/>
          </w:tcPr>
          <w:p w14:paraId="362F8A28" w14:textId="77777777" w:rsidR="00523A3E" w:rsidRPr="00044C0B" w:rsidRDefault="00B1282F" w:rsidP="006C1A60">
            <w:pPr>
              <w:pStyle w:val="TableText"/>
              <w:rPr>
                <w:b/>
                <w:bCs/>
              </w:rPr>
            </w:pPr>
            <w:r w:rsidRPr="00044C0B">
              <w:rPr>
                <w:b/>
                <w:bCs/>
              </w:rPr>
              <w:t>Complies</w:t>
            </w:r>
          </w:p>
          <w:p w14:paraId="6D464970" w14:textId="2BC02B45" w:rsidR="00B1282F" w:rsidRDefault="00DB4551" w:rsidP="006C1A60">
            <w:pPr>
              <w:pStyle w:val="TableText"/>
            </w:pPr>
            <w:r>
              <w:t>Noise levels of the proposed development is generally compatible with existing surrounding land uses. Refer to full Noise Assessment at Appendix L.</w:t>
            </w:r>
          </w:p>
        </w:tc>
      </w:tr>
      <w:tr w:rsidR="00523A3E" w14:paraId="247C81FF" w14:textId="77777777" w:rsidTr="00D62A08">
        <w:tc>
          <w:tcPr>
            <w:tcW w:w="4536" w:type="dxa"/>
          </w:tcPr>
          <w:p w14:paraId="158A79EC" w14:textId="738B4A17" w:rsidR="00523A3E" w:rsidRDefault="00523A3E" w:rsidP="00523A3E">
            <w:pPr>
              <w:pStyle w:val="TableAlpha"/>
            </w:pPr>
          </w:p>
        </w:tc>
        <w:tc>
          <w:tcPr>
            <w:tcW w:w="5103" w:type="dxa"/>
          </w:tcPr>
          <w:p w14:paraId="7C741378" w14:textId="77777777" w:rsidR="00523A3E" w:rsidRDefault="00523A3E" w:rsidP="006C1A60">
            <w:pPr>
              <w:pStyle w:val="TableText"/>
            </w:pPr>
          </w:p>
        </w:tc>
        <w:tc>
          <w:tcPr>
            <w:tcW w:w="4931" w:type="dxa"/>
          </w:tcPr>
          <w:p w14:paraId="0C1BE067" w14:textId="41A63743" w:rsidR="00523A3E" w:rsidRPr="00044C0B" w:rsidRDefault="00523A3E" w:rsidP="006C1A60">
            <w:pPr>
              <w:pStyle w:val="TableText"/>
              <w:rPr>
                <w:b/>
                <w:bCs/>
              </w:rPr>
            </w:pPr>
          </w:p>
        </w:tc>
      </w:tr>
      <w:tr w:rsidR="00FC5626" w14:paraId="5F5539DA" w14:textId="77777777" w:rsidTr="00500013">
        <w:tc>
          <w:tcPr>
            <w:tcW w:w="14570" w:type="dxa"/>
            <w:gridSpan w:val="3"/>
            <w:shd w:val="clear" w:color="auto" w:fill="B7B7B9" w:themeFill="accent2" w:themeFillTint="66"/>
          </w:tcPr>
          <w:p w14:paraId="1E55DEE8" w14:textId="1A315392" w:rsidR="00FC5626" w:rsidRDefault="00FC5626" w:rsidP="006C1A60">
            <w:pPr>
              <w:pStyle w:val="TableText"/>
            </w:pPr>
            <w:r w:rsidRPr="00500013">
              <w:rPr>
                <w:b/>
                <w:bCs/>
                <w:sz w:val="23"/>
                <w:szCs w:val="23"/>
              </w:rPr>
              <w:t>2.4 Contaminated Land Management</w:t>
            </w:r>
          </w:p>
        </w:tc>
      </w:tr>
      <w:tr w:rsidR="00112147" w14:paraId="77B793C4" w14:textId="77777777" w:rsidTr="00D62A08">
        <w:tc>
          <w:tcPr>
            <w:tcW w:w="4536" w:type="dxa"/>
          </w:tcPr>
          <w:p w14:paraId="52D9202C" w14:textId="19E61775" w:rsidR="00112147" w:rsidRDefault="00A30E20" w:rsidP="00A30E20">
            <w:pPr>
              <w:pStyle w:val="TableAlpha"/>
              <w:numPr>
                <w:ilvl w:val="0"/>
                <w:numId w:val="45"/>
              </w:numPr>
            </w:pPr>
            <w:r>
              <w:t xml:space="preserve">All development involving contaminated land must be undertaken consistent with the requirements of State Environmental Planning Policy (SEPP) No. 55 – Remediation of Land, Contaminated Land Management </w:t>
            </w:r>
            <w:r>
              <w:lastRenderedPageBreak/>
              <w:t xml:space="preserve">Act 1997 and the Queanbeyan Local Environmental Plan 2012, Clause 7.1 - Earthworks. </w:t>
            </w:r>
          </w:p>
        </w:tc>
        <w:tc>
          <w:tcPr>
            <w:tcW w:w="5103" w:type="dxa"/>
          </w:tcPr>
          <w:p w14:paraId="411F7D82" w14:textId="77777777" w:rsidR="00EB63DD" w:rsidRDefault="00EB63DD" w:rsidP="00500013">
            <w:pPr>
              <w:pStyle w:val="TableText"/>
            </w:pPr>
            <w:r>
              <w:lastRenderedPageBreak/>
              <w:t xml:space="preserve">Refer to SEPP 55 Assessment </w:t>
            </w:r>
          </w:p>
          <w:p w14:paraId="6EB42C7F" w14:textId="77777777" w:rsidR="00112147" w:rsidRDefault="00112147" w:rsidP="006C1A60">
            <w:pPr>
              <w:pStyle w:val="TableText"/>
            </w:pPr>
          </w:p>
        </w:tc>
        <w:tc>
          <w:tcPr>
            <w:tcW w:w="4931" w:type="dxa"/>
          </w:tcPr>
          <w:p w14:paraId="74EE7AD0" w14:textId="77777777" w:rsidR="00112147" w:rsidRPr="00C07613" w:rsidRDefault="00C07613" w:rsidP="006C1A60">
            <w:pPr>
              <w:pStyle w:val="TableText"/>
              <w:rPr>
                <w:b/>
                <w:bCs/>
              </w:rPr>
            </w:pPr>
            <w:r w:rsidRPr="00C07613">
              <w:rPr>
                <w:b/>
                <w:bCs/>
              </w:rPr>
              <w:t>Complies</w:t>
            </w:r>
          </w:p>
          <w:p w14:paraId="7117D4EA" w14:textId="77777777" w:rsidR="00C07613" w:rsidRDefault="00C07613" w:rsidP="00C07613">
            <w:pPr>
              <w:pStyle w:val="TableText"/>
            </w:pPr>
            <w:r>
              <w:t xml:space="preserve">A Preliminary (Phase 1) Site Investigation (PSI) and Soil Contamination Assessment (SCA) were undertaken as part of the application. Both reports found that there is low potential risk form soil or </w:t>
            </w:r>
            <w:r>
              <w:lastRenderedPageBreak/>
              <w:t>groundwater contamination to human health of environment on the Site.</w:t>
            </w:r>
          </w:p>
          <w:p w14:paraId="111BEF4A" w14:textId="06F1A408" w:rsidR="00C07613" w:rsidRDefault="00C07613" w:rsidP="00C07613">
            <w:pPr>
              <w:pStyle w:val="TableText"/>
            </w:pPr>
            <w:r>
              <w:t>The potential site contamination was considered by Council as part of the internal referrals.  It was considered that the proposed use of the site for a public administration building is consistent with previous use of the site for commercial purposes, and the proposal is satisfactory in terms of remediation and contamination, subject to the recommended conditions of consent.</w:t>
            </w:r>
          </w:p>
        </w:tc>
      </w:tr>
      <w:tr w:rsidR="00112147" w14:paraId="3D6493E8" w14:textId="77777777" w:rsidTr="00D62A08">
        <w:tc>
          <w:tcPr>
            <w:tcW w:w="4536" w:type="dxa"/>
          </w:tcPr>
          <w:p w14:paraId="432CEF82" w14:textId="300C0214" w:rsidR="00112147" w:rsidRDefault="00A30E20" w:rsidP="00A30E20">
            <w:pPr>
              <w:pStyle w:val="TableAlpha"/>
            </w:pPr>
            <w:r>
              <w:lastRenderedPageBreak/>
              <w:t>In determining all rezoning, subdivision and development applications, Council must consider the possibility of land contamination and the implications it has for any proposed or permissible future uses of the land.</w:t>
            </w:r>
          </w:p>
        </w:tc>
        <w:tc>
          <w:tcPr>
            <w:tcW w:w="5103" w:type="dxa"/>
          </w:tcPr>
          <w:p w14:paraId="2DED1F60" w14:textId="77777777" w:rsidR="00112147" w:rsidRDefault="00112147" w:rsidP="006C1A60">
            <w:pPr>
              <w:pStyle w:val="TableText"/>
            </w:pPr>
          </w:p>
        </w:tc>
        <w:tc>
          <w:tcPr>
            <w:tcW w:w="4931" w:type="dxa"/>
          </w:tcPr>
          <w:p w14:paraId="7CD974D9" w14:textId="20A2D631" w:rsidR="00112147" w:rsidRPr="00C07613" w:rsidRDefault="00F86F6D" w:rsidP="006C1A60">
            <w:pPr>
              <w:pStyle w:val="TableText"/>
              <w:rPr>
                <w:b/>
                <w:bCs/>
              </w:rPr>
            </w:pPr>
            <w:r>
              <w:rPr>
                <w:b/>
                <w:bCs/>
              </w:rPr>
              <w:t xml:space="preserve">Noted </w:t>
            </w:r>
          </w:p>
        </w:tc>
      </w:tr>
      <w:tr w:rsidR="00112147" w14:paraId="34AEF5DB" w14:textId="77777777" w:rsidTr="00D62A08">
        <w:tc>
          <w:tcPr>
            <w:tcW w:w="4536" w:type="dxa"/>
          </w:tcPr>
          <w:p w14:paraId="73440030" w14:textId="6CCB1B1C" w:rsidR="00112147" w:rsidRDefault="00112147" w:rsidP="00037BAD">
            <w:pPr>
              <w:pStyle w:val="TableText"/>
              <w:numPr>
                <w:ilvl w:val="0"/>
                <w:numId w:val="74"/>
              </w:numPr>
            </w:pPr>
          </w:p>
        </w:tc>
        <w:tc>
          <w:tcPr>
            <w:tcW w:w="5103" w:type="dxa"/>
          </w:tcPr>
          <w:p w14:paraId="12C83218" w14:textId="77777777" w:rsidR="00112147" w:rsidRDefault="00112147" w:rsidP="006C1A60">
            <w:pPr>
              <w:pStyle w:val="TableText"/>
            </w:pPr>
          </w:p>
        </w:tc>
        <w:tc>
          <w:tcPr>
            <w:tcW w:w="4931" w:type="dxa"/>
          </w:tcPr>
          <w:p w14:paraId="2536718D" w14:textId="46DBEF2B" w:rsidR="00112147" w:rsidRDefault="00112147" w:rsidP="006C1A60">
            <w:pPr>
              <w:pStyle w:val="TableText"/>
            </w:pPr>
          </w:p>
        </w:tc>
      </w:tr>
      <w:tr w:rsidR="00112147" w14:paraId="07E7A28F" w14:textId="77777777" w:rsidTr="00D62A08">
        <w:tc>
          <w:tcPr>
            <w:tcW w:w="4536" w:type="dxa"/>
          </w:tcPr>
          <w:p w14:paraId="4ECBE518" w14:textId="1A3C215B" w:rsidR="00112147" w:rsidRDefault="00112147" w:rsidP="00A30E20">
            <w:pPr>
              <w:pStyle w:val="TableAlpha"/>
            </w:pPr>
          </w:p>
        </w:tc>
        <w:tc>
          <w:tcPr>
            <w:tcW w:w="5103" w:type="dxa"/>
          </w:tcPr>
          <w:p w14:paraId="7F20A98C" w14:textId="77777777" w:rsidR="00112147" w:rsidRDefault="00112147" w:rsidP="006C1A60">
            <w:pPr>
              <w:pStyle w:val="TableText"/>
            </w:pPr>
          </w:p>
        </w:tc>
        <w:tc>
          <w:tcPr>
            <w:tcW w:w="4931" w:type="dxa"/>
          </w:tcPr>
          <w:p w14:paraId="23156C47" w14:textId="0FD85F27" w:rsidR="00112147" w:rsidRDefault="00112147" w:rsidP="006C1A60">
            <w:pPr>
              <w:pStyle w:val="TableText"/>
            </w:pPr>
          </w:p>
        </w:tc>
      </w:tr>
      <w:tr w:rsidR="00112147" w14:paraId="765F5960" w14:textId="77777777" w:rsidTr="00D62A08">
        <w:tc>
          <w:tcPr>
            <w:tcW w:w="4536" w:type="dxa"/>
          </w:tcPr>
          <w:p w14:paraId="0BEFEC4F" w14:textId="6BC974B4" w:rsidR="00112147" w:rsidRDefault="00112147" w:rsidP="00A30E20">
            <w:pPr>
              <w:pStyle w:val="TableAlpha"/>
            </w:pPr>
          </w:p>
        </w:tc>
        <w:tc>
          <w:tcPr>
            <w:tcW w:w="5103" w:type="dxa"/>
          </w:tcPr>
          <w:p w14:paraId="0E4948CD" w14:textId="77777777" w:rsidR="00112147" w:rsidRDefault="00112147" w:rsidP="006C1A60">
            <w:pPr>
              <w:pStyle w:val="TableText"/>
            </w:pPr>
          </w:p>
        </w:tc>
        <w:tc>
          <w:tcPr>
            <w:tcW w:w="4931" w:type="dxa"/>
          </w:tcPr>
          <w:p w14:paraId="2C7A997F" w14:textId="4C02697C" w:rsidR="00760002" w:rsidRDefault="00760002" w:rsidP="006C1A60">
            <w:pPr>
              <w:pStyle w:val="TableText"/>
            </w:pPr>
          </w:p>
        </w:tc>
      </w:tr>
      <w:tr w:rsidR="00112147" w14:paraId="71F8F215" w14:textId="77777777" w:rsidTr="00D62A08">
        <w:tc>
          <w:tcPr>
            <w:tcW w:w="4536" w:type="dxa"/>
          </w:tcPr>
          <w:p w14:paraId="2D7D21F0" w14:textId="6D00D581" w:rsidR="00112147" w:rsidRDefault="00112147" w:rsidP="00902C62">
            <w:pPr>
              <w:pStyle w:val="TableAlpha"/>
            </w:pPr>
          </w:p>
        </w:tc>
        <w:tc>
          <w:tcPr>
            <w:tcW w:w="5103" w:type="dxa"/>
          </w:tcPr>
          <w:p w14:paraId="348BC6AF" w14:textId="77777777" w:rsidR="00112147" w:rsidRDefault="00112147" w:rsidP="006C1A60">
            <w:pPr>
              <w:pStyle w:val="TableText"/>
            </w:pPr>
          </w:p>
        </w:tc>
        <w:tc>
          <w:tcPr>
            <w:tcW w:w="4931" w:type="dxa"/>
          </w:tcPr>
          <w:p w14:paraId="715200E3" w14:textId="540BA8A7" w:rsidR="00112147" w:rsidRDefault="00112147" w:rsidP="006C1A60">
            <w:pPr>
              <w:pStyle w:val="TableText"/>
            </w:pPr>
          </w:p>
        </w:tc>
      </w:tr>
      <w:tr w:rsidR="00A30E20" w14:paraId="0820B280" w14:textId="77777777" w:rsidTr="00D62A08">
        <w:tc>
          <w:tcPr>
            <w:tcW w:w="4536" w:type="dxa"/>
          </w:tcPr>
          <w:p w14:paraId="5C63B873" w14:textId="2E4BFDA3" w:rsidR="00A30E20" w:rsidRDefault="00A30E20" w:rsidP="00902C62">
            <w:pPr>
              <w:pStyle w:val="TableAlpha"/>
            </w:pPr>
          </w:p>
        </w:tc>
        <w:tc>
          <w:tcPr>
            <w:tcW w:w="5103" w:type="dxa"/>
          </w:tcPr>
          <w:p w14:paraId="78A7FDB9" w14:textId="77777777" w:rsidR="00A30E20" w:rsidRDefault="00A30E20" w:rsidP="006C1A60">
            <w:pPr>
              <w:pStyle w:val="TableText"/>
            </w:pPr>
          </w:p>
        </w:tc>
        <w:tc>
          <w:tcPr>
            <w:tcW w:w="4931" w:type="dxa"/>
          </w:tcPr>
          <w:p w14:paraId="5FBD9C43" w14:textId="344E3287" w:rsidR="00A30E20" w:rsidRDefault="00A30E20" w:rsidP="006C1A60">
            <w:pPr>
              <w:pStyle w:val="TableText"/>
            </w:pPr>
          </w:p>
        </w:tc>
      </w:tr>
      <w:tr w:rsidR="00A30E20" w14:paraId="502591F6" w14:textId="77777777" w:rsidTr="00D62A08">
        <w:tc>
          <w:tcPr>
            <w:tcW w:w="4536" w:type="dxa"/>
          </w:tcPr>
          <w:p w14:paraId="256DD541" w14:textId="36F5367E" w:rsidR="00A30E20" w:rsidRDefault="00A30E20" w:rsidP="00902C62">
            <w:pPr>
              <w:pStyle w:val="TableAlpha"/>
            </w:pPr>
          </w:p>
        </w:tc>
        <w:tc>
          <w:tcPr>
            <w:tcW w:w="5103" w:type="dxa"/>
          </w:tcPr>
          <w:p w14:paraId="019AEABF" w14:textId="77777777" w:rsidR="00A30E20" w:rsidRDefault="00A30E20" w:rsidP="006C1A60">
            <w:pPr>
              <w:pStyle w:val="TableText"/>
            </w:pPr>
          </w:p>
        </w:tc>
        <w:tc>
          <w:tcPr>
            <w:tcW w:w="4931" w:type="dxa"/>
          </w:tcPr>
          <w:p w14:paraId="2F2C437B" w14:textId="78384441" w:rsidR="00A30E20" w:rsidRDefault="00A30E20" w:rsidP="006C1A60">
            <w:pPr>
              <w:pStyle w:val="TableText"/>
            </w:pPr>
          </w:p>
        </w:tc>
      </w:tr>
      <w:tr w:rsidR="00A30E20" w14:paraId="214FB37B" w14:textId="77777777" w:rsidTr="00D62A08">
        <w:tc>
          <w:tcPr>
            <w:tcW w:w="4536" w:type="dxa"/>
          </w:tcPr>
          <w:p w14:paraId="37A77B61" w14:textId="7CFAEF60" w:rsidR="00A30E20" w:rsidRDefault="00A30E20" w:rsidP="00902C62">
            <w:pPr>
              <w:pStyle w:val="TableAlpha"/>
            </w:pPr>
          </w:p>
        </w:tc>
        <w:tc>
          <w:tcPr>
            <w:tcW w:w="5103" w:type="dxa"/>
          </w:tcPr>
          <w:p w14:paraId="2F35093D" w14:textId="77777777" w:rsidR="00A30E20" w:rsidRDefault="00A30E20" w:rsidP="006C1A60">
            <w:pPr>
              <w:pStyle w:val="TableText"/>
            </w:pPr>
          </w:p>
        </w:tc>
        <w:tc>
          <w:tcPr>
            <w:tcW w:w="4931" w:type="dxa"/>
          </w:tcPr>
          <w:p w14:paraId="20B02A33" w14:textId="39BA489A" w:rsidR="00A30E20" w:rsidRDefault="00A30E20" w:rsidP="006C1A60">
            <w:pPr>
              <w:pStyle w:val="TableText"/>
            </w:pPr>
          </w:p>
        </w:tc>
      </w:tr>
      <w:tr w:rsidR="00A30E20" w14:paraId="00558817" w14:textId="77777777" w:rsidTr="00D62A08">
        <w:tc>
          <w:tcPr>
            <w:tcW w:w="4536" w:type="dxa"/>
          </w:tcPr>
          <w:p w14:paraId="7F8579F8" w14:textId="3A800B38" w:rsidR="00A30E20" w:rsidRDefault="00A30E20" w:rsidP="00902C62">
            <w:pPr>
              <w:pStyle w:val="TableAlpha"/>
            </w:pPr>
          </w:p>
        </w:tc>
        <w:tc>
          <w:tcPr>
            <w:tcW w:w="5103" w:type="dxa"/>
          </w:tcPr>
          <w:p w14:paraId="3EA5201F" w14:textId="77777777" w:rsidR="00A30E20" w:rsidRDefault="00A30E20" w:rsidP="006C1A60">
            <w:pPr>
              <w:pStyle w:val="TableText"/>
            </w:pPr>
          </w:p>
        </w:tc>
        <w:tc>
          <w:tcPr>
            <w:tcW w:w="4931" w:type="dxa"/>
          </w:tcPr>
          <w:p w14:paraId="5FCE1702" w14:textId="5D3B43ED" w:rsidR="00A30E20" w:rsidRDefault="00A30E20" w:rsidP="006C1A60">
            <w:pPr>
              <w:pStyle w:val="TableText"/>
            </w:pPr>
          </w:p>
        </w:tc>
      </w:tr>
      <w:tr w:rsidR="00A30E20" w14:paraId="4064D875" w14:textId="77777777" w:rsidTr="00D62A08">
        <w:tc>
          <w:tcPr>
            <w:tcW w:w="4536" w:type="dxa"/>
          </w:tcPr>
          <w:p w14:paraId="22B5855A" w14:textId="1B5583F0" w:rsidR="00A30E20" w:rsidRDefault="00A30E20" w:rsidP="00902C62">
            <w:pPr>
              <w:pStyle w:val="TableAlpha"/>
            </w:pPr>
          </w:p>
        </w:tc>
        <w:tc>
          <w:tcPr>
            <w:tcW w:w="5103" w:type="dxa"/>
          </w:tcPr>
          <w:p w14:paraId="28C98C1D" w14:textId="77777777" w:rsidR="00A30E20" w:rsidRDefault="00A30E20" w:rsidP="006C1A60">
            <w:pPr>
              <w:pStyle w:val="TableText"/>
            </w:pPr>
          </w:p>
        </w:tc>
        <w:tc>
          <w:tcPr>
            <w:tcW w:w="4931" w:type="dxa"/>
          </w:tcPr>
          <w:p w14:paraId="5710F3C6" w14:textId="3AB357C5" w:rsidR="00A30E20" w:rsidRDefault="00A30E20" w:rsidP="006C1A60">
            <w:pPr>
              <w:pStyle w:val="TableText"/>
            </w:pPr>
          </w:p>
        </w:tc>
      </w:tr>
      <w:tr w:rsidR="00A30E20" w14:paraId="7113FBF0" w14:textId="77777777" w:rsidTr="00D62A08">
        <w:tc>
          <w:tcPr>
            <w:tcW w:w="4536" w:type="dxa"/>
          </w:tcPr>
          <w:p w14:paraId="3E28DBF7" w14:textId="2707A319" w:rsidR="00A30E20" w:rsidRDefault="00A30E20" w:rsidP="00902C62">
            <w:pPr>
              <w:pStyle w:val="TableAlpha2"/>
            </w:pPr>
          </w:p>
        </w:tc>
        <w:tc>
          <w:tcPr>
            <w:tcW w:w="5103" w:type="dxa"/>
          </w:tcPr>
          <w:p w14:paraId="408B62AE" w14:textId="77777777" w:rsidR="00A30E20" w:rsidRDefault="00A30E20" w:rsidP="006C1A60">
            <w:pPr>
              <w:pStyle w:val="TableText"/>
            </w:pPr>
          </w:p>
        </w:tc>
        <w:tc>
          <w:tcPr>
            <w:tcW w:w="4931" w:type="dxa"/>
          </w:tcPr>
          <w:p w14:paraId="3E557FC8" w14:textId="6B08BFBC" w:rsidR="00A30E20" w:rsidRDefault="00A30E20" w:rsidP="006C1A60">
            <w:pPr>
              <w:pStyle w:val="TableText"/>
            </w:pPr>
          </w:p>
        </w:tc>
      </w:tr>
      <w:tr w:rsidR="00A30E20" w14:paraId="17199937" w14:textId="77777777" w:rsidTr="00D62A08">
        <w:tc>
          <w:tcPr>
            <w:tcW w:w="4536" w:type="dxa"/>
          </w:tcPr>
          <w:p w14:paraId="0ACE2E1E" w14:textId="66851E72" w:rsidR="00A30E20" w:rsidRDefault="00A30E20" w:rsidP="00902C62">
            <w:pPr>
              <w:pStyle w:val="TableAlpha2"/>
            </w:pPr>
          </w:p>
        </w:tc>
        <w:tc>
          <w:tcPr>
            <w:tcW w:w="5103" w:type="dxa"/>
          </w:tcPr>
          <w:p w14:paraId="22CBF989" w14:textId="77777777" w:rsidR="00A30E20" w:rsidRDefault="00A30E20" w:rsidP="006C1A60">
            <w:pPr>
              <w:pStyle w:val="TableText"/>
            </w:pPr>
          </w:p>
        </w:tc>
        <w:tc>
          <w:tcPr>
            <w:tcW w:w="4931" w:type="dxa"/>
          </w:tcPr>
          <w:p w14:paraId="0630BEEF" w14:textId="1BEDEF2E" w:rsidR="00A30E20" w:rsidRDefault="00A30E20" w:rsidP="006C1A60">
            <w:pPr>
              <w:pStyle w:val="TableText"/>
            </w:pPr>
          </w:p>
        </w:tc>
      </w:tr>
      <w:tr w:rsidR="00A30E20" w14:paraId="7565B46B" w14:textId="77777777" w:rsidTr="00D62A08">
        <w:tc>
          <w:tcPr>
            <w:tcW w:w="4536" w:type="dxa"/>
          </w:tcPr>
          <w:p w14:paraId="11FA9CFF" w14:textId="11FD838B" w:rsidR="00A30E20" w:rsidRDefault="00A30E20" w:rsidP="00211B46">
            <w:pPr>
              <w:pStyle w:val="TableAlpha"/>
            </w:pPr>
          </w:p>
        </w:tc>
        <w:tc>
          <w:tcPr>
            <w:tcW w:w="5103" w:type="dxa"/>
          </w:tcPr>
          <w:p w14:paraId="56658CAC" w14:textId="77777777" w:rsidR="00A30E20" w:rsidRDefault="00A30E20" w:rsidP="006C1A60">
            <w:pPr>
              <w:pStyle w:val="TableText"/>
            </w:pPr>
          </w:p>
        </w:tc>
        <w:tc>
          <w:tcPr>
            <w:tcW w:w="4931" w:type="dxa"/>
          </w:tcPr>
          <w:p w14:paraId="10D27881" w14:textId="45AC1814" w:rsidR="00A30E20" w:rsidRDefault="00A30E20" w:rsidP="006C1A60">
            <w:pPr>
              <w:pStyle w:val="TableText"/>
            </w:pPr>
          </w:p>
        </w:tc>
      </w:tr>
      <w:tr w:rsidR="00A30E20" w14:paraId="1776BAC0" w14:textId="77777777" w:rsidTr="00D62A08">
        <w:tc>
          <w:tcPr>
            <w:tcW w:w="4536" w:type="dxa"/>
          </w:tcPr>
          <w:p w14:paraId="071D8167" w14:textId="744FA56F" w:rsidR="00A30E20" w:rsidRDefault="00A30E20" w:rsidP="00211B46">
            <w:pPr>
              <w:pStyle w:val="TableAlpha"/>
            </w:pPr>
          </w:p>
        </w:tc>
        <w:tc>
          <w:tcPr>
            <w:tcW w:w="5103" w:type="dxa"/>
          </w:tcPr>
          <w:p w14:paraId="11F9F4E2" w14:textId="77777777" w:rsidR="00A30E20" w:rsidRDefault="00A30E20" w:rsidP="006C1A60">
            <w:pPr>
              <w:pStyle w:val="TableText"/>
            </w:pPr>
          </w:p>
        </w:tc>
        <w:tc>
          <w:tcPr>
            <w:tcW w:w="4931" w:type="dxa"/>
          </w:tcPr>
          <w:p w14:paraId="3D3438E0" w14:textId="2E8A8BE3" w:rsidR="00A30E20" w:rsidRDefault="00A30E20" w:rsidP="006C1A60">
            <w:pPr>
              <w:pStyle w:val="TableText"/>
            </w:pPr>
          </w:p>
        </w:tc>
      </w:tr>
      <w:tr w:rsidR="00A30E20" w14:paraId="38CD25E3" w14:textId="77777777" w:rsidTr="00D62A08">
        <w:tc>
          <w:tcPr>
            <w:tcW w:w="4536" w:type="dxa"/>
          </w:tcPr>
          <w:p w14:paraId="4E35BEFA" w14:textId="0C470A73" w:rsidR="00A30E20" w:rsidRDefault="00A30E20" w:rsidP="00211B46">
            <w:pPr>
              <w:pStyle w:val="TableAlpha"/>
            </w:pPr>
          </w:p>
        </w:tc>
        <w:tc>
          <w:tcPr>
            <w:tcW w:w="5103" w:type="dxa"/>
          </w:tcPr>
          <w:p w14:paraId="7EEC6A5D" w14:textId="77777777" w:rsidR="00A30E20" w:rsidRDefault="00A30E20" w:rsidP="006C1A60">
            <w:pPr>
              <w:pStyle w:val="TableText"/>
            </w:pPr>
          </w:p>
        </w:tc>
        <w:tc>
          <w:tcPr>
            <w:tcW w:w="4931" w:type="dxa"/>
          </w:tcPr>
          <w:p w14:paraId="4EB9610E" w14:textId="1C68918E" w:rsidR="00A30E20" w:rsidRDefault="00A30E20" w:rsidP="006C1A60">
            <w:pPr>
              <w:pStyle w:val="TableText"/>
            </w:pPr>
          </w:p>
        </w:tc>
      </w:tr>
      <w:tr w:rsidR="00A30E20" w14:paraId="75DABB39" w14:textId="77777777" w:rsidTr="00D62A08">
        <w:tc>
          <w:tcPr>
            <w:tcW w:w="4536" w:type="dxa"/>
          </w:tcPr>
          <w:p w14:paraId="42100EBE" w14:textId="34C43D79" w:rsidR="00A30E20" w:rsidRDefault="00A30E20" w:rsidP="00211B46">
            <w:pPr>
              <w:pStyle w:val="TableAlpha"/>
            </w:pPr>
          </w:p>
        </w:tc>
        <w:tc>
          <w:tcPr>
            <w:tcW w:w="5103" w:type="dxa"/>
          </w:tcPr>
          <w:p w14:paraId="7D1259F3" w14:textId="77777777" w:rsidR="00A30E20" w:rsidRDefault="00A30E20" w:rsidP="006C1A60">
            <w:pPr>
              <w:pStyle w:val="TableText"/>
            </w:pPr>
          </w:p>
        </w:tc>
        <w:tc>
          <w:tcPr>
            <w:tcW w:w="4931" w:type="dxa"/>
          </w:tcPr>
          <w:p w14:paraId="4411B1B1" w14:textId="67771AC1" w:rsidR="00A30E20" w:rsidRDefault="00A30E20" w:rsidP="006C1A60">
            <w:pPr>
              <w:pStyle w:val="TableText"/>
            </w:pPr>
          </w:p>
        </w:tc>
      </w:tr>
      <w:tr w:rsidR="00A30E20" w14:paraId="069E00B8" w14:textId="77777777" w:rsidTr="00D62A08">
        <w:tc>
          <w:tcPr>
            <w:tcW w:w="4536" w:type="dxa"/>
          </w:tcPr>
          <w:p w14:paraId="24B0223E" w14:textId="5F4A491C" w:rsidR="00A30E20" w:rsidRDefault="00A30E20" w:rsidP="00211B46">
            <w:pPr>
              <w:pStyle w:val="TableAlpha"/>
            </w:pPr>
          </w:p>
        </w:tc>
        <w:tc>
          <w:tcPr>
            <w:tcW w:w="5103" w:type="dxa"/>
          </w:tcPr>
          <w:p w14:paraId="141E7227" w14:textId="77777777" w:rsidR="00A30E20" w:rsidRDefault="00A30E20" w:rsidP="006C1A60">
            <w:pPr>
              <w:pStyle w:val="TableText"/>
            </w:pPr>
          </w:p>
        </w:tc>
        <w:tc>
          <w:tcPr>
            <w:tcW w:w="4931" w:type="dxa"/>
          </w:tcPr>
          <w:p w14:paraId="6F0DFC89" w14:textId="3FE39FB2" w:rsidR="00A30E20" w:rsidRDefault="00A30E20" w:rsidP="006C1A60">
            <w:pPr>
              <w:pStyle w:val="TableText"/>
            </w:pPr>
          </w:p>
        </w:tc>
      </w:tr>
      <w:tr w:rsidR="00A30E20" w14:paraId="33403DA4" w14:textId="77777777" w:rsidTr="00D62A08">
        <w:tc>
          <w:tcPr>
            <w:tcW w:w="4536" w:type="dxa"/>
          </w:tcPr>
          <w:p w14:paraId="5431F64C" w14:textId="2FB6B1CD" w:rsidR="00A30E20" w:rsidRDefault="00A30E20" w:rsidP="00211B46">
            <w:pPr>
              <w:pStyle w:val="TableAlpha"/>
            </w:pPr>
          </w:p>
        </w:tc>
        <w:tc>
          <w:tcPr>
            <w:tcW w:w="5103" w:type="dxa"/>
          </w:tcPr>
          <w:p w14:paraId="1BC2A617" w14:textId="77777777" w:rsidR="00A30E20" w:rsidRDefault="00A30E20" w:rsidP="006C1A60">
            <w:pPr>
              <w:pStyle w:val="TableText"/>
            </w:pPr>
          </w:p>
        </w:tc>
        <w:tc>
          <w:tcPr>
            <w:tcW w:w="4931" w:type="dxa"/>
          </w:tcPr>
          <w:p w14:paraId="156A8A16" w14:textId="0ECFD067" w:rsidR="00A30E20" w:rsidRDefault="00A30E20" w:rsidP="006C1A60">
            <w:pPr>
              <w:pStyle w:val="TableText"/>
            </w:pPr>
          </w:p>
        </w:tc>
      </w:tr>
      <w:tr w:rsidR="00211B46" w14:paraId="7258D046" w14:textId="77777777" w:rsidTr="00D62A08">
        <w:tc>
          <w:tcPr>
            <w:tcW w:w="4536" w:type="dxa"/>
          </w:tcPr>
          <w:p w14:paraId="048C813D" w14:textId="4550BFD0" w:rsidR="00211B46" w:rsidRPr="00211B46" w:rsidRDefault="00211B46" w:rsidP="00211B46">
            <w:pPr>
              <w:pStyle w:val="TableAlpha"/>
            </w:pPr>
          </w:p>
        </w:tc>
        <w:tc>
          <w:tcPr>
            <w:tcW w:w="5103" w:type="dxa"/>
          </w:tcPr>
          <w:p w14:paraId="1D46B876" w14:textId="77777777" w:rsidR="00211B46" w:rsidRDefault="00211B46" w:rsidP="006C1A60">
            <w:pPr>
              <w:pStyle w:val="TableText"/>
            </w:pPr>
          </w:p>
        </w:tc>
        <w:tc>
          <w:tcPr>
            <w:tcW w:w="4931" w:type="dxa"/>
          </w:tcPr>
          <w:p w14:paraId="3D1F3C4B" w14:textId="45DB6495" w:rsidR="00211B46" w:rsidRDefault="00211B46" w:rsidP="006C1A60">
            <w:pPr>
              <w:pStyle w:val="TableText"/>
            </w:pPr>
          </w:p>
        </w:tc>
      </w:tr>
      <w:tr w:rsidR="00211B46" w14:paraId="5F3559DD" w14:textId="77777777" w:rsidTr="00D62A08">
        <w:tc>
          <w:tcPr>
            <w:tcW w:w="4536" w:type="dxa"/>
          </w:tcPr>
          <w:p w14:paraId="2A96CE15" w14:textId="05CB13F9" w:rsidR="00211B46" w:rsidRPr="00211B46" w:rsidRDefault="00211B46" w:rsidP="00211B46">
            <w:pPr>
              <w:pStyle w:val="TableAlpha2"/>
            </w:pPr>
          </w:p>
        </w:tc>
        <w:tc>
          <w:tcPr>
            <w:tcW w:w="5103" w:type="dxa"/>
          </w:tcPr>
          <w:p w14:paraId="766CCEDF" w14:textId="77777777" w:rsidR="00211B46" w:rsidRDefault="00211B46" w:rsidP="006C1A60">
            <w:pPr>
              <w:pStyle w:val="TableText"/>
            </w:pPr>
          </w:p>
        </w:tc>
        <w:tc>
          <w:tcPr>
            <w:tcW w:w="4931" w:type="dxa"/>
          </w:tcPr>
          <w:p w14:paraId="474939A5" w14:textId="5AC9EC21" w:rsidR="00443ABD" w:rsidRDefault="00443ABD" w:rsidP="006C1A60">
            <w:pPr>
              <w:pStyle w:val="TableText"/>
            </w:pPr>
          </w:p>
        </w:tc>
      </w:tr>
      <w:tr w:rsidR="00211B46" w14:paraId="60C0A005" w14:textId="77777777" w:rsidTr="00D62A08">
        <w:tc>
          <w:tcPr>
            <w:tcW w:w="4536" w:type="dxa"/>
          </w:tcPr>
          <w:p w14:paraId="6F5D021C" w14:textId="088813C8" w:rsidR="00211B46" w:rsidRPr="00211B46" w:rsidRDefault="00211B46" w:rsidP="00211B46">
            <w:pPr>
              <w:pStyle w:val="TableAlpha"/>
              <w:numPr>
                <w:ilvl w:val="0"/>
                <w:numId w:val="46"/>
              </w:numPr>
            </w:pPr>
          </w:p>
        </w:tc>
        <w:tc>
          <w:tcPr>
            <w:tcW w:w="5103" w:type="dxa"/>
          </w:tcPr>
          <w:p w14:paraId="5E26CCD4" w14:textId="77777777" w:rsidR="00211B46" w:rsidRDefault="00211B46" w:rsidP="006C1A60">
            <w:pPr>
              <w:pStyle w:val="TableText"/>
            </w:pPr>
          </w:p>
        </w:tc>
        <w:tc>
          <w:tcPr>
            <w:tcW w:w="4931" w:type="dxa"/>
          </w:tcPr>
          <w:p w14:paraId="118CC725" w14:textId="676B8D83" w:rsidR="00211B46" w:rsidRDefault="00211B46" w:rsidP="006C1A60">
            <w:pPr>
              <w:pStyle w:val="TableText"/>
            </w:pPr>
          </w:p>
        </w:tc>
      </w:tr>
      <w:tr w:rsidR="00211B46" w14:paraId="0A4C4370" w14:textId="77777777" w:rsidTr="00D62A08">
        <w:tc>
          <w:tcPr>
            <w:tcW w:w="4536" w:type="dxa"/>
          </w:tcPr>
          <w:p w14:paraId="733AA268" w14:textId="16A826C6" w:rsidR="00211B46" w:rsidRPr="00211B46" w:rsidRDefault="00211B46" w:rsidP="00211B46">
            <w:pPr>
              <w:pStyle w:val="TableAlpha"/>
            </w:pPr>
          </w:p>
        </w:tc>
        <w:tc>
          <w:tcPr>
            <w:tcW w:w="5103" w:type="dxa"/>
          </w:tcPr>
          <w:p w14:paraId="2B7567F8" w14:textId="77777777" w:rsidR="00211B46" w:rsidRDefault="00211B46" w:rsidP="006C1A60">
            <w:pPr>
              <w:pStyle w:val="TableText"/>
            </w:pPr>
          </w:p>
        </w:tc>
        <w:tc>
          <w:tcPr>
            <w:tcW w:w="4931" w:type="dxa"/>
          </w:tcPr>
          <w:p w14:paraId="5222560E" w14:textId="4BE42C0E" w:rsidR="00211B46" w:rsidRDefault="00211B46" w:rsidP="006C1A60">
            <w:pPr>
              <w:pStyle w:val="TableText"/>
            </w:pPr>
          </w:p>
        </w:tc>
      </w:tr>
      <w:tr w:rsidR="00211B46" w14:paraId="0CE92BDB" w14:textId="77777777" w:rsidTr="00D62A08">
        <w:tc>
          <w:tcPr>
            <w:tcW w:w="4536" w:type="dxa"/>
          </w:tcPr>
          <w:p w14:paraId="61876754" w14:textId="09268980" w:rsidR="00211B46" w:rsidRPr="00211B46" w:rsidRDefault="00211B46" w:rsidP="00211B46">
            <w:pPr>
              <w:pStyle w:val="TableAlpha"/>
            </w:pPr>
          </w:p>
        </w:tc>
        <w:tc>
          <w:tcPr>
            <w:tcW w:w="5103" w:type="dxa"/>
          </w:tcPr>
          <w:p w14:paraId="2293DA4F" w14:textId="77777777" w:rsidR="00211B46" w:rsidRDefault="00211B46" w:rsidP="006C1A60">
            <w:pPr>
              <w:pStyle w:val="TableText"/>
            </w:pPr>
          </w:p>
        </w:tc>
        <w:tc>
          <w:tcPr>
            <w:tcW w:w="4931" w:type="dxa"/>
          </w:tcPr>
          <w:p w14:paraId="1D2AC58B" w14:textId="2675BAFC" w:rsidR="00211B46" w:rsidRDefault="00211B46" w:rsidP="006C1A60">
            <w:pPr>
              <w:pStyle w:val="TableText"/>
            </w:pPr>
          </w:p>
        </w:tc>
      </w:tr>
      <w:tr w:rsidR="00211B46" w14:paraId="18B80946" w14:textId="77777777" w:rsidTr="000C2DD2">
        <w:tc>
          <w:tcPr>
            <w:tcW w:w="14570" w:type="dxa"/>
            <w:gridSpan w:val="3"/>
            <w:shd w:val="clear" w:color="auto" w:fill="949496" w:themeFill="accent2" w:themeFillTint="99"/>
          </w:tcPr>
          <w:p w14:paraId="60AAEFA2" w14:textId="20C7F05E" w:rsidR="00211B46" w:rsidRDefault="00211B46" w:rsidP="006C1A60">
            <w:pPr>
              <w:pStyle w:val="TableText"/>
            </w:pPr>
            <w:r>
              <w:rPr>
                <w:b/>
                <w:bCs/>
                <w:sz w:val="23"/>
                <w:szCs w:val="23"/>
              </w:rPr>
              <w:t>2.5 Flood Management</w:t>
            </w:r>
          </w:p>
        </w:tc>
      </w:tr>
      <w:tr w:rsidR="00211B46" w14:paraId="485D53C7" w14:textId="77777777" w:rsidTr="000C2DD2">
        <w:tc>
          <w:tcPr>
            <w:tcW w:w="14570" w:type="dxa"/>
            <w:gridSpan w:val="3"/>
            <w:shd w:val="clear" w:color="auto" w:fill="B7B7B9" w:themeFill="accent2" w:themeFillTint="66"/>
          </w:tcPr>
          <w:p w14:paraId="2A16D104" w14:textId="47BB29A4" w:rsidR="00211B46" w:rsidRDefault="00211B46" w:rsidP="006C1A60">
            <w:pPr>
              <w:pStyle w:val="TableText"/>
            </w:pPr>
            <w:r>
              <w:rPr>
                <w:b/>
                <w:bCs/>
                <w:sz w:val="22"/>
              </w:rPr>
              <w:t>2.5.6 Land within Flood Planning Area</w:t>
            </w:r>
          </w:p>
        </w:tc>
      </w:tr>
      <w:tr w:rsidR="00211B46" w14:paraId="3D29247E" w14:textId="77777777" w:rsidTr="00D62A08">
        <w:tc>
          <w:tcPr>
            <w:tcW w:w="4536" w:type="dxa"/>
          </w:tcPr>
          <w:p w14:paraId="4F9EC328" w14:textId="77777777" w:rsidR="00211B46" w:rsidRDefault="00211B46" w:rsidP="00211B46">
            <w:pPr>
              <w:pStyle w:val="TableAlpha"/>
              <w:numPr>
                <w:ilvl w:val="0"/>
                <w:numId w:val="47"/>
              </w:numPr>
            </w:pPr>
            <w:r>
              <w:t>All development shall be subject to the following conditions:</w:t>
            </w:r>
          </w:p>
          <w:p w14:paraId="1D181CC5" w14:textId="465138F5" w:rsidR="00211B46" w:rsidRDefault="00211B46" w:rsidP="00211B46">
            <w:pPr>
              <w:pStyle w:val="TableAlpha2"/>
            </w:pPr>
            <w:r>
              <w:t xml:space="preserve">Stream Flow Forces - A certificate from a suitably qualified Engineer will be required to show that all piers and other portions of the structure which are subject to the force of flowing water or debris has been </w:t>
            </w:r>
            <w:r>
              <w:lastRenderedPageBreak/>
              <w:t>designed to resist the stresses thereby induced.</w:t>
            </w:r>
          </w:p>
          <w:p w14:paraId="4114747A" w14:textId="3278D806" w:rsidR="00211B46" w:rsidRDefault="00211B46" w:rsidP="00211B46">
            <w:pPr>
              <w:pStyle w:val="TableAlpha2"/>
            </w:pPr>
            <w:r>
              <w:t>Foundations - A certificate from a suitably qualified Engineer will be required to show that forces transmitted by supports to the ground can be adequately withstood by the foundations and ground conditions existing on the site.</w:t>
            </w:r>
          </w:p>
          <w:p w14:paraId="2A419A62" w14:textId="736E114E" w:rsidR="00211B46" w:rsidRPr="00211B46" w:rsidRDefault="00211B46" w:rsidP="00211B46">
            <w:pPr>
              <w:pStyle w:val="TableAlpha2"/>
            </w:pPr>
            <w:r>
              <w:t>Hydraulic Effects - A certificate from a suitably qualified Engineer will be required to show that the structure as designed will have virtually no effect on the flood levels at or upstream from the site of the subject building and will have no increase in stream velocity downstream of any part of the structure which will cause erosion or instability to any other structure or to the ground surface. If scouring is likely to occur the method of controlling such scourings is to be documented.</w:t>
            </w:r>
          </w:p>
        </w:tc>
        <w:tc>
          <w:tcPr>
            <w:tcW w:w="5103" w:type="dxa"/>
          </w:tcPr>
          <w:p w14:paraId="35E96458" w14:textId="77777777" w:rsidR="00C07613" w:rsidRPr="00876617" w:rsidRDefault="00C07613" w:rsidP="00C07613">
            <w:pPr>
              <w:pStyle w:val="TableText"/>
            </w:pPr>
            <w:r w:rsidRPr="00876617">
              <w:lastRenderedPageBreak/>
              <w:t xml:space="preserve">Refer to hydraulic engineering report. </w:t>
            </w:r>
          </w:p>
          <w:p w14:paraId="31CC6902" w14:textId="55BB5112" w:rsidR="00211B46" w:rsidRPr="00876617" w:rsidRDefault="00C07613" w:rsidP="00C07613">
            <w:pPr>
              <w:pStyle w:val="TableText"/>
            </w:pPr>
            <w:r>
              <w:t>Complies with flood planning level (500mm freeboard) min. RL576.02</w:t>
            </w:r>
          </w:p>
        </w:tc>
        <w:tc>
          <w:tcPr>
            <w:tcW w:w="4931" w:type="dxa"/>
          </w:tcPr>
          <w:p w14:paraId="4827DB87" w14:textId="77777777" w:rsidR="00876617" w:rsidRPr="00C07613" w:rsidRDefault="00A34259" w:rsidP="002079D2">
            <w:pPr>
              <w:pStyle w:val="TableText"/>
              <w:rPr>
                <w:b/>
                <w:bCs/>
              </w:rPr>
            </w:pPr>
            <w:r w:rsidRPr="00C07613">
              <w:rPr>
                <w:b/>
                <w:bCs/>
              </w:rPr>
              <w:t>Complies</w:t>
            </w:r>
          </w:p>
          <w:p w14:paraId="09E54F8A" w14:textId="2E67334D" w:rsidR="00A34259" w:rsidRDefault="00A34259" w:rsidP="002079D2">
            <w:pPr>
              <w:pStyle w:val="TableText"/>
            </w:pPr>
          </w:p>
        </w:tc>
      </w:tr>
      <w:tr w:rsidR="00211B46" w14:paraId="08935D7A" w14:textId="77777777" w:rsidTr="00D62A08">
        <w:tc>
          <w:tcPr>
            <w:tcW w:w="4536" w:type="dxa"/>
          </w:tcPr>
          <w:p w14:paraId="5A176239" w14:textId="77777777" w:rsidR="00211B46" w:rsidRDefault="00211B46" w:rsidP="00211B46">
            <w:pPr>
              <w:pStyle w:val="TableAlpha"/>
            </w:pPr>
            <w:r>
              <w:t>Commercial/Industrial</w:t>
            </w:r>
          </w:p>
          <w:p w14:paraId="4E20091C" w14:textId="32EECBD5" w:rsidR="00211B46" w:rsidRDefault="00211B46" w:rsidP="00211B46">
            <w:pPr>
              <w:pStyle w:val="TableAlpha2"/>
            </w:pPr>
            <w:r>
              <w:t>Floor Level – The floor level of any approved building shall not be sited more than 2m below the flood planning level set for such site provided that the floor area equivalent to 25% of the whole floor area of the building is sited at or above the flood planning level for such site. Electrical power connections, switch boards and transformers are to be set above the flood planning level. Floors will be self - draining after flood events.</w:t>
            </w:r>
          </w:p>
          <w:p w14:paraId="14DE203C" w14:textId="779ECFD8" w:rsidR="00211B46" w:rsidRPr="00211B46" w:rsidRDefault="00211B46" w:rsidP="00211B46">
            <w:pPr>
              <w:pStyle w:val="TableAlpha2"/>
            </w:pPr>
            <w:r>
              <w:t xml:space="preserve">Access - means of escape shall be provided from premises constructed in designated flood planning area. Escape doorways from floors sited below the </w:t>
            </w:r>
            <w:r>
              <w:lastRenderedPageBreak/>
              <w:t>flood planning set for such site shall be the inwards opening type and access from the premises shall be via gradually rising ground, free from traps, (i.e. deep areas not discernible during inundation) to areas above the designated flood level. Means of escape shall also be provided from any floor sited less than 4.5 metres above the flood planning level by means of a large window opening onto an area of external wall away from the electricity connection to the building and free of projections which may prevent a rescue boat from approaching such flood escape window. Access doors and windows to be used during flood events are to be clearly marked by means of a suitable sign.</w:t>
            </w:r>
          </w:p>
        </w:tc>
        <w:tc>
          <w:tcPr>
            <w:tcW w:w="5103" w:type="dxa"/>
          </w:tcPr>
          <w:p w14:paraId="6D868632" w14:textId="77777777" w:rsidR="00C07613" w:rsidRPr="00876617" w:rsidRDefault="00C07613" w:rsidP="00C07613">
            <w:pPr>
              <w:pStyle w:val="TableText"/>
            </w:pPr>
            <w:r w:rsidRPr="00876617">
              <w:lastRenderedPageBreak/>
              <w:t xml:space="preserve">Refer to hydraulic engineering report. </w:t>
            </w:r>
          </w:p>
          <w:p w14:paraId="28874B5B" w14:textId="5CD72DCA" w:rsidR="00211B46" w:rsidRDefault="00C07613" w:rsidP="00C07613">
            <w:pPr>
              <w:pStyle w:val="TableText"/>
            </w:pPr>
            <w:r>
              <w:t>Complies with flood planning level (500mm freeboard) min. RL576.02</w:t>
            </w:r>
          </w:p>
        </w:tc>
        <w:tc>
          <w:tcPr>
            <w:tcW w:w="4931" w:type="dxa"/>
          </w:tcPr>
          <w:p w14:paraId="6DF4E63F" w14:textId="77777777" w:rsidR="002079D2" w:rsidRPr="002079D2" w:rsidRDefault="002079D2" w:rsidP="002079D2">
            <w:pPr>
              <w:pStyle w:val="TableText"/>
              <w:rPr>
                <w:b/>
                <w:bCs/>
              </w:rPr>
            </w:pPr>
            <w:r w:rsidRPr="002079D2">
              <w:rPr>
                <w:b/>
                <w:bCs/>
              </w:rPr>
              <w:t>Complies.</w:t>
            </w:r>
          </w:p>
          <w:p w14:paraId="33B5FD32" w14:textId="0733CA0D" w:rsidR="002079D2" w:rsidRDefault="002079D2" w:rsidP="002079D2">
            <w:pPr>
              <w:pStyle w:val="TableText"/>
            </w:pPr>
            <w:r w:rsidRPr="002079D2">
              <w:t>i.</w:t>
            </w:r>
            <w:r>
              <w:t xml:space="preserve"> A dispensation was granted by Council to permit the construction of the basement below more than 2m below the flood planning level. </w:t>
            </w:r>
          </w:p>
          <w:p w14:paraId="6962A651" w14:textId="7F40AA55" w:rsidR="00211B46" w:rsidRDefault="002079D2" w:rsidP="006C1A60">
            <w:pPr>
              <w:pStyle w:val="TableText"/>
            </w:pPr>
            <w:r>
              <w:t xml:space="preserve">ii. The fire stairs are considered to provide appropriate means of escape, including the basement, ground floor and mezzanine. </w:t>
            </w:r>
          </w:p>
        </w:tc>
      </w:tr>
      <w:tr w:rsidR="00211B46" w14:paraId="39B33464" w14:textId="77777777" w:rsidTr="00D62A08">
        <w:tc>
          <w:tcPr>
            <w:tcW w:w="4536" w:type="dxa"/>
          </w:tcPr>
          <w:p w14:paraId="19098BF5" w14:textId="0D9313F7" w:rsidR="00211B46" w:rsidRPr="00211B46" w:rsidRDefault="00211B46" w:rsidP="00211B46">
            <w:pPr>
              <w:pStyle w:val="TableAlpha"/>
            </w:pPr>
          </w:p>
        </w:tc>
        <w:tc>
          <w:tcPr>
            <w:tcW w:w="5103" w:type="dxa"/>
          </w:tcPr>
          <w:p w14:paraId="1E4AF52C" w14:textId="5E71A9F8" w:rsidR="00211B46" w:rsidRDefault="00211B46" w:rsidP="006C1A60">
            <w:pPr>
              <w:pStyle w:val="TableText"/>
            </w:pPr>
          </w:p>
        </w:tc>
        <w:tc>
          <w:tcPr>
            <w:tcW w:w="4931" w:type="dxa"/>
          </w:tcPr>
          <w:p w14:paraId="3CAC512E" w14:textId="4992749F" w:rsidR="00211B46" w:rsidRPr="0054542C" w:rsidRDefault="00211B46" w:rsidP="006C1A60">
            <w:pPr>
              <w:pStyle w:val="TableText"/>
              <w:rPr>
                <w:b/>
                <w:bCs/>
              </w:rPr>
            </w:pPr>
          </w:p>
        </w:tc>
      </w:tr>
      <w:tr w:rsidR="00211B46" w14:paraId="49AC0232" w14:textId="77777777" w:rsidTr="00D62A08">
        <w:tc>
          <w:tcPr>
            <w:tcW w:w="4536" w:type="dxa"/>
          </w:tcPr>
          <w:p w14:paraId="5063DD80" w14:textId="1290D653" w:rsidR="00211B46" w:rsidRPr="00211B46" w:rsidRDefault="00211B46" w:rsidP="00211B46">
            <w:pPr>
              <w:pStyle w:val="TableAlpha"/>
            </w:pPr>
          </w:p>
        </w:tc>
        <w:tc>
          <w:tcPr>
            <w:tcW w:w="5103" w:type="dxa"/>
          </w:tcPr>
          <w:p w14:paraId="22356951" w14:textId="597AEA78" w:rsidR="00211B46" w:rsidRDefault="00211B46" w:rsidP="006C1A60">
            <w:pPr>
              <w:pStyle w:val="TableText"/>
            </w:pPr>
          </w:p>
        </w:tc>
        <w:tc>
          <w:tcPr>
            <w:tcW w:w="4931" w:type="dxa"/>
          </w:tcPr>
          <w:p w14:paraId="76161EE4" w14:textId="5B81DFE6" w:rsidR="00211B46" w:rsidRPr="0054542C" w:rsidRDefault="00211B46" w:rsidP="006C1A60">
            <w:pPr>
              <w:pStyle w:val="TableText"/>
              <w:rPr>
                <w:b/>
                <w:bCs/>
              </w:rPr>
            </w:pPr>
          </w:p>
        </w:tc>
      </w:tr>
      <w:tr w:rsidR="00211B46" w14:paraId="13D0E03A" w14:textId="77777777" w:rsidTr="00D62A08">
        <w:tc>
          <w:tcPr>
            <w:tcW w:w="4536" w:type="dxa"/>
          </w:tcPr>
          <w:p w14:paraId="488E2B5F" w14:textId="1EB963AC" w:rsidR="00211B46" w:rsidRPr="00211B46" w:rsidRDefault="00211B46" w:rsidP="00211B46">
            <w:pPr>
              <w:pStyle w:val="TableAlpha"/>
            </w:pPr>
          </w:p>
        </w:tc>
        <w:tc>
          <w:tcPr>
            <w:tcW w:w="5103" w:type="dxa"/>
          </w:tcPr>
          <w:p w14:paraId="1122B175" w14:textId="77777777" w:rsidR="00211B46" w:rsidRDefault="00211B46" w:rsidP="006C1A60">
            <w:pPr>
              <w:pStyle w:val="TableText"/>
            </w:pPr>
          </w:p>
        </w:tc>
        <w:tc>
          <w:tcPr>
            <w:tcW w:w="4931" w:type="dxa"/>
          </w:tcPr>
          <w:p w14:paraId="7AFE9617" w14:textId="0D61EA05" w:rsidR="00211B46" w:rsidRDefault="00211B46" w:rsidP="006C1A60">
            <w:pPr>
              <w:pStyle w:val="TableText"/>
            </w:pPr>
          </w:p>
        </w:tc>
      </w:tr>
      <w:tr w:rsidR="00211B46" w14:paraId="328E68ED" w14:textId="77777777" w:rsidTr="00D62A08">
        <w:tc>
          <w:tcPr>
            <w:tcW w:w="4536" w:type="dxa"/>
          </w:tcPr>
          <w:p w14:paraId="7E672634" w14:textId="6FC68A1D" w:rsidR="00211B46" w:rsidRPr="00211B46" w:rsidRDefault="00211B46" w:rsidP="00211B46">
            <w:pPr>
              <w:pStyle w:val="TableAlpha"/>
              <w:rPr>
                <w:sz w:val="22"/>
              </w:rPr>
            </w:pPr>
            <w:r>
              <w:rPr>
                <w:sz w:val="22"/>
              </w:rPr>
              <w:t xml:space="preserve">No site shall be filled to a level higher than 2 metres below the flood planning level of such site. </w:t>
            </w:r>
          </w:p>
        </w:tc>
        <w:tc>
          <w:tcPr>
            <w:tcW w:w="5103" w:type="dxa"/>
          </w:tcPr>
          <w:p w14:paraId="56318B28" w14:textId="77777777" w:rsidR="00211B46" w:rsidRDefault="00211B46" w:rsidP="006C1A60">
            <w:pPr>
              <w:pStyle w:val="TableText"/>
            </w:pPr>
          </w:p>
        </w:tc>
        <w:tc>
          <w:tcPr>
            <w:tcW w:w="4931" w:type="dxa"/>
          </w:tcPr>
          <w:p w14:paraId="45B45785" w14:textId="38DA56E4" w:rsidR="00211B46" w:rsidRDefault="002079D2" w:rsidP="006C1A60">
            <w:pPr>
              <w:pStyle w:val="TableText"/>
            </w:pPr>
            <w:r>
              <w:t xml:space="preserve">A dispensation was granted by Council to permit the construction of the basement below more than 2m below the flood planning level. </w:t>
            </w:r>
          </w:p>
        </w:tc>
      </w:tr>
      <w:tr w:rsidR="00211B46" w14:paraId="7FEEAAC3" w14:textId="77777777" w:rsidTr="00D62A08">
        <w:tc>
          <w:tcPr>
            <w:tcW w:w="4536" w:type="dxa"/>
          </w:tcPr>
          <w:p w14:paraId="6EB9808F" w14:textId="53E791CD" w:rsidR="00211B46" w:rsidRDefault="00211B46" w:rsidP="00211B46">
            <w:pPr>
              <w:pStyle w:val="TableAlpha"/>
            </w:pPr>
            <w:r>
              <w:t>Dangerous Substances – The following items and products are extremely vulnerable to flood conditions. Their use in quantities, other than for isolated or occasional</w:t>
            </w:r>
            <w:r w:rsidR="006E0509">
              <w:t xml:space="preserve"> ho</w:t>
            </w:r>
            <w:r>
              <w:t xml:space="preserve">usehold use, is prohibited from a designated flood area. Industrial, storage </w:t>
            </w:r>
            <w:r>
              <w:lastRenderedPageBreak/>
              <w:t>and retailing businesses dealing with these products shall not be permitted within the designated flood area:</w:t>
            </w:r>
          </w:p>
          <w:p w14:paraId="67D921C4" w14:textId="3CB04141" w:rsidR="00211B46" w:rsidRPr="00211B46" w:rsidRDefault="00211B46" w:rsidP="006E0509">
            <w:pPr>
              <w:pStyle w:val="TableBullet"/>
            </w:pPr>
            <w:r>
              <w:t>Acetone, Celluloid, Magnesium, Ammonia, Chlorine, Nitric Acid, Benzine, Petrol, Phoshorus, Sodium, Sulphur, Potassium, Carbon, Disulfide, Hydrochloric Acid.</w:t>
            </w:r>
          </w:p>
        </w:tc>
        <w:tc>
          <w:tcPr>
            <w:tcW w:w="5103" w:type="dxa"/>
          </w:tcPr>
          <w:p w14:paraId="0FF140D6" w14:textId="77777777" w:rsidR="00211B46" w:rsidRDefault="00211B46" w:rsidP="006C1A60">
            <w:pPr>
              <w:pStyle w:val="TableText"/>
            </w:pPr>
          </w:p>
        </w:tc>
        <w:tc>
          <w:tcPr>
            <w:tcW w:w="4931" w:type="dxa"/>
          </w:tcPr>
          <w:p w14:paraId="3551030C" w14:textId="77777777" w:rsidR="00211B46" w:rsidRDefault="00211B46" w:rsidP="006C1A60">
            <w:pPr>
              <w:pStyle w:val="TableText"/>
            </w:pPr>
          </w:p>
        </w:tc>
      </w:tr>
      <w:tr w:rsidR="00211B46" w14:paraId="1CDC72C2" w14:textId="77777777" w:rsidTr="00D62A08">
        <w:tc>
          <w:tcPr>
            <w:tcW w:w="4536" w:type="dxa"/>
          </w:tcPr>
          <w:p w14:paraId="49AD6C90" w14:textId="0D7D6ED4" w:rsidR="00211B46" w:rsidRPr="00211B46" w:rsidRDefault="00211B46" w:rsidP="006E0509">
            <w:pPr>
              <w:pStyle w:val="TableAlpha"/>
            </w:pPr>
          </w:p>
        </w:tc>
        <w:tc>
          <w:tcPr>
            <w:tcW w:w="5103" w:type="dxa"/>
          </w:tcPr>
          <w:p w14:paraId="1D2ABE89" w14:textId="77777777" w:rsidR="00211B46" w:rsidRDefault="00211B46" w:rsidP="006C1A60">
            <w:pPr>
              <w:pStyle w:val="TableText"/>
            </w:pPr>
          </w:p>
        </w:tc>
        <w:tc>
          <w:tcPr>
            <w:tcW w:w="4931" w:type="dxa"/>
          </w:tcPr>
          <w:p w14:paraId="0BDC48AB" w14:textId="201166C7" w:rsidR="00211B46" w:rsidRPr="0054542C" w:rsidRDefault="00211B46" w:rsidP="006C1A60">
            <w:pPr>
              <w:pStyle w:val="TableText"/>
              <w:rPr>
                <w:b/>
                <w:bCs/>
              </w:rPr>
            </w:pPr>
          </w:p>
        </w:tc>
      </w:tr>
      <w:tr w:rsidR="00211B46" w14:paraId="7670D31A" w14:textId="77777777" w:rsidTr="00D62A08">
        <w:tc>
          <w:tcPr>
            <w:tcW w:w="4536" w:type="dxa"/>
          </w:tcPr>
          <w:p w14:paraId="6F8C8010" w14:textId="56A096C4" w:rsidR="00211B46" w:rsidRPr="00211B46" w:rsidRDefault="00211B46" w:rsidP="006E0509">
            <w:pPr>
              <w:pStyle w:val="TableAlpha"/>
            </w:pPr>
          </w:p>
        </w:tc>
        <w:tc>
          <w:tcPr>
            <w:tcW w:w="5103" w:type="dxa"/>
          </w:tcPr>
          <w:p w14:paraId="7C19E6B0" w14:textId="77777777" w:rsidR="00211B46" w:rsidRDefault="00211B46" w:rsidP="006C1A60">
            <w:pPr>
              <w:pStyle w:val="TableText"/>
            </w:pPr>
          </w:p>
        </w:tc>
        <w:tc>
          <w:tcPr>
            <w:tcW w:w="4931" w:type="dxa"/>
          </w:tcPr>
          <w:p w14:paraId="08B3D7F7" w14:textId="69C4B910" w:rsidR="00211B46" w:rsidRPr="00C07613" w:rsidRDefault="00211B46" w:rsidP="006C1A60">
            <w:pPr>
              <w:pStyle w:val="TableText"/>
              <w:rPr>
                <w:b/>
                <w:bCs/>
              </w:rPr>
            </w:pPr>
          </w:p>
        </w:tc>
      </w:tr>
      <w:tr w:rsidR="009A1A64" w14:paraId="0F1867A6" w14:textId="77777777" w:rsidTr="009A1A64">
        <w:tc>
          <w:tcPr>
            <w:tcW w:w="14570" w:type="dxa"/>
            <w:gridSpan w:val="3"/>
            <w:shd w:val="clear" w:color="auto" w:fill="949496" w:themeFill="accent2" w:themeFillTint="99"/>
          </w:tcPr>
          <w:p w14:paraId="2B665004" w14:textId="7F11D741" w:rsidR="009A1A64" w:rsidRDefault="009A1A64" w:rsidP="006C1A60">
            <w:pPr>
              <w:pStyle w:val="TableText"/>
            </w:pPr>
            <w:r>
              <w:rPr>
                <w:b/>
                <w:bCs/>
                <w:sz w:val="22"/>
              </w:rPr>
              <w:t>2.6 Landscaping</w:t>
            </w:r>
          </w:p>
        </w:tc>
      </w:tr>
      <w:tr w:rsidR="009A1A64" w14:paraId="1E5ED6EF" w14:textId="77777777" w:rsidTr="009A1A64">
        <w:trPr>
          <w:trHeight w:val="395"/>
        </w:trPr>
        <w:tc>
          <w:tcPr>
            <w:tcW w:w="14570" w:type="dxa"/>
            <w:gridSpan w:val="3"/>
            <w:shd w:val="clear" w:color="auto" w:fill="B7B7B9" w:themeFill="accent2" w:themeFillTint="66"/>
          </w:tcPr>
          <w:p w14:paraId="20F2D194" w14:textId="39E41714" w:rsidR="009A1A64" w:rsidRPr="009A1A64" w:rsidRDefault="009A1A64" w:rsidP="00D80E55">
            <w:pPr>
              <w:pStyle w:val="TableHeadingGrey"/>
            </w:pPr>
            <w:r>
              <w:t>2.</w:t>
            </w:r>
            <w:r w:rsidRPr="009A1A64">
              <w:t>6.4 When is a Landscaping Plan Required?</w:t>
            </w:r>
            <w:r>
              <w:t xml:space="preserve"> </w:t>
            </w:r>
          </w:p>
        </w:tc>
      </w:tr>
      <w:tr w:rsidR="009A1A64" w14:paraId="29769593" w14:textId="77777777" w:rsidTr="00D62A08">
        <w:tc>
          <w:tcPr>
            <w:tcW w:w="4536" w:type="dxa"/>
          </w:tcPr>
          <w:p w14:paraId="47994564" w14:textId="77777777" w:rsidR="009A1A64" w:rsidRDefault="009A1A64" w:rsidP="00D80E55">
            <w:pPr>
              <w:pStyle w:val="TableText"/>
            </w:pPr>
            <w:r>
              <w:t xml:space="preserve">Council requires the submission of a landscape plan for most development proposals. </w:t>
            </w:r>
          </w:p>
          <w:p w14:paraId="33A41AA0" w14:textId="77777777" w:rsidR="009A1A64" w:rsidRDefault="009A1A64" w:rsidP="00D80E55">
            <w:pPr>
              <w:pStyle w:val="TableText"/>
            </w:pPr>
            <w:r>
              <w:t>For proposals with a scale or intensity greater than a single house in a residential zone, or minor industrial or minor commercial type development, a landscape consultant will be required to prepare landscaping plans to be submitted with a development application and a landscape contractor will be required to carry out the work on the approved plans.</w:t>
            </w:r>
          </w:p>
          <w:p w14:paraId="461AD8CD" w14:textId="77777777" w:rsidR="00D80E55" w:rsidRPr="00D80E55" w:rsidRDefault="00D80E55" w:rsidP="00D80E55">
            <w:pPr>
              <w:pStyle w:val="TableText"/>
              <w:rPr>
                <w:b/>
                <w:bCs/>
              </w:rPr>
            </w:pPr>
            <w:r w:rsidRPr="00D80E55">
              <w:rPr>
                <w:b/>
                <w:bCs/>
              </w:rPr>
              <w:t>Category 2 Development</w:t>
            </w:r>
          </w:p>
          <w:p w14:paraId="4857381E" w14:textId="0EFC14F4" w:rsidR="00D80E55" w:rsidRPr="00211B46" w:rsidRDefault="00D80E55" w:rsidP="00D80E55">
            <w:pPr>
              <w:pStyle w:val="TableText"/>
            </w:pPr>
            <w:r>
              <w:lastRenderedPageBreak/>
              <w:t>Developments within Category 2 are mid-range to large scale development with prominent visual significance.</w:t>
            </w:r>
          </w:p>
        </w:tc>
        <w:tc>
          <w:tcPr>
            <w:tcW w:w="5103" w:type="dxa"/>
          </w:tcPr>
          <w:p w14:paraId="7C96A4A9" w14:textId="77777777" w:rsidR="00EB63DD" w:rsidRDefault="00EB63DD" w:rsidP="000045AF">
            <w:pPr>
              <w:pStyle w:val="TableText"/>
            </w:pPr>
            <w:r>
              <w:lastRenderedPageBreak/>
              <w:t xml:space="preserve">Accompanied by Landscape Plan covering area surrounding the building and public car parking. The public plaza will be subject to a separate landscape plan. </w:t>
            </w:r>
          </w:p>
          <w:p w14:paraId="5510BD8D" w14:textId="77777777" w:rsidR="009A1A64" w:rsidRDefault="009A1A64" w:rsidP="009A1A64">
            <w:pPr>
              <w:pStyle w:val="TableText"/>
            </w:pPr>
          </w:p>
        </w:tc>
        <w:tc>
          <w:tcPr>
            <w:tcW w:w="4931" w:type="dxa"/>
          </w:tcPr>
          <w:p w14:paraId="139F347F" w14:textId="77777777" w:rsidR="009A1A64" w:rsidRPr="0054542C" w:rsidRDefault="0054542C" w:rsidP="009A1A64">
            <w:pPr>
              <w:pStyle w:val="TableText"/>
              <w:rPr>
                <w:b/>
                <w:bCs/>
              </w:rPr>
            </w:pPr>
            <w:r w:rsidRPr="0054542C">
              <w:rPr>
                <w:b/>
                <w:bCs/>
              </w:rPr>
              <w:t>Complies.</w:t>
            </w:r>
          </w:p>
          <w:p w14:paraId="7E449E37" w14:textId="378C7A44" w:rsidR="0054542C" w:rsidRDefault="0054542C" w:rsidP="009A1A64">
            <w:pPr>
              <w:pStyle w:val="TableText"/>
            </w:pPr>
            <w:r>
              <w:t>A Landscape Plan is provided with the application.</w:t>
            </w:r>
          </w:p>
        </w:tc>
      </w:tr>
      <w:tr w:rsidR="00D80E55" w14:paraId="4EE56E41" w14:textId="77777777" w:rsidTr="000C2DD2">
        <w:tc>
          <w:tcPr>
            <w:tcW w:w="14570" w:type="dxa"/>
            <w:gridSpan w:val="3"/>
            <w:shd w:val="clear" w:color="auto" w:fill="B7B7B9" w:themeFill="accent2" w:themeFillTint="66"/>
          </w:tcPr>
          <w:p w14:paraId="1D6BE2B8" w14:textId="4F2FF031" w:rsidR="00D80E55" w:rsidRDefault="00D80E55" w:rsidP="009A1A64">
            <w:pPr>
              <w:pStyle w:val="TableText"/>
            </w:pPr>
            <w:r>
              <w:rPr>
                <w:b/>
                <w:bCs/>
                <w:sz w:val="22"/>
              </w:rPr>
              <w:t>2.6.14 What Should Be Submitted With a Development Application?</w:t>
            </w:r>
          </w:p>
        </w:tc>
      </w:tr>
      <w:tr w:rsidR="009A1A64" w14:paraId="6FDE05D4" w14:textId="77777777" w:rsidTr="00D62A08">
        <w:tc>
          <w:tcPr>
            <w:tcW w:w="4536" w:type="dxa"/>
          </w:tcPr>
          <w:p w14:paraId="04E95A44" w14:textId="77777777" w:rsidR="00D80E55" w:rsidRDefault="00D80E55" w:rsidP="00D80E55">
            <w:pPr>
              <w:pStyle w:val="TableNumber"/>
              <w:numPr>
                <w:ilvl w:val="0"/>
                <w:numId w:val="48"/>
              </w:numPr>
            </w:pPr>
            <w:r>
              <w:t>Written declaration</w:t>
            </w:r>
          </w:p>
          <w:p w14:paraId="07388A0B" w14:textId="77777777" w:rsidR="00D80E55" w:rsidRDefault="00D80E55" w:rsidP="00D80E55">
            <w:pPr>
              <w:pStyle w:val="TableText"/>
            </w:pPr>
            <w:r>
              <w:t>The landscape plan for Category 1 works shall be accompanied by a written declaration stating that the landscape design was prepared by the accredited landscape consultant.</w:t>
            </w:r>
          </w:p>
          <w:p w14:paraId="06CA1BEE" w14:textId="77777777" w:rsidR="009A1A64" w:rsidRDefault="00D80E55" w:rsidP="00D80E55">
            <w:pPr>
              <w:pStyle w:val="TableText"/>
            </w:pPr>
            <w:r>
              <w:t xml:space="preserve">The landscape plan for </w:t>
            </w:r>
            <w:bookmarkStart w:id="0" w:name="_Hlk39001470"/>
            <w:r>
              <w:t xml:space="preserve">Category 2 </w:t>
            </w:r>
            <w:bookmarkEnd w:id="0"/>
            <w:r>
              <w:t>works shall be accompanied by:</w:t>
            </w:r>
          </w:p>
          <w:p w14:paraId="66667BE6" w14:textId="77777777" w:rsidR="00D80E55" w:rsidRDefault="00D80E55" w:rsidP="00D80E55">
            <w:pPr>
              <w:pStyle w:val="TableAlpha"/>
              <w:numPr>
                <w:ilvl w:val="0"/>
                <w:numId w:val="49"/>
              </w:numPr>
            </w:pPr>
            <w:r>
              <w:t>Statement of design intent which reflects how the proposed landscape proposal meets the relevant objectives of Queanbeyan’s LEP 2012, Development Control Plans and related documents.</w:t>
            </w:r>
          </w:p>
          <w:p w14:paraId="07756A48" w14:textId="4B90DCC3" w:rsidR="00D80E55" w:rsidRPr="00211B46" w:rsidRDefault="00D80E55" w:rsidP="00D80E55">
            <w:pPr>
              <w:pStyle w:val="TableAlpha"/>
              <w:numPr>
                <w:ilvl w:val="0"/>
                <w:numId w:val="49"/>
              </w:numPr>
            </w:pPr>
            <w:r>
              <w:t>Written declaration stating that the accredited landscape consultant prepared the plan.</w:t>
            </w:r>
          </w:p>
        </w:tc>
        <w:tc>
          <w:tcPr>
            <w:tcW w:w="5103" w:type="dxa"/>
          </w:tcPr>
          <w:p w14:paraId="3E7AF584" w14:textId="77777777" w:rsidR="009A1A64" w:rsidRDefault="009A1A64" w:rsidP="009A1A64">
            <w:pPr>
              <w:pStyle w:val="TableText"/>
            </w:pPr>
          </w:p>
        </w:tc>
        <w:tc>
          <w:tcPr>
            <w:tcW w:w="4931" w:type="dxa"/>
          </w:tcPr>
          <w:p w14:paraId="3842E7B1" w14:textId="642059AA" w:rsidR="0054542C" w:rsidRPr="0054542C" w:rsidRDefault="0054542C" w:rsidP="009A1A64">
            <w:pPr>
              <w:pStyle w:val="TableText"/>
              <w:rPr>
                <w:b/>
                <w:bCs/>
              </w:rPr>
            </w:pPr>
            <w:r w:rsidRPr="0054542C">
              <w:rPr>
                <w:b/>
                <w:bCs/>
              </w:rPr>
              <w:t xml:space="preserve">Complies. </w:t>
            </w:r>
          </w:p>
          <w:p w14:paraId="6593A85F" w14:textId="233B629D" w:rsidR="009A1A64" w:rsidRDefault="00B829B3" w:rsidP="009A1A64">
            <w:pPr>
              <w:pStyle w:val="TableText"/>
            </w:pPr>
            <w:r>
              <w:t>The Landscape Plan identifies desired character statements for various parts of the proposed public realm (e.g. Crawford Street forecourt, public square</w:t>
            </w:r>
            <w:r w:rsidR="00CD62D7">
              <w:t xml:space="preserve"> and the roof garden</w:t>
            </w:r>
            <w:r>
              <w:t>).</w:t>
            </w:r>
          </w:p>
          <w:p w14:paraId="0E29ACFC" w14:textId="63F645CB" w:rsidR="000045AF" w:rsidRDefault="000045AF" w:rsidP="009A1A64">
            <w:pPr>
              <w:pStyle w:val="TableText"/>
            </w:pPr>
            <w:r>
              <w:t xml:space="preserve">Council confirming whether Oxigen is a registered Category 2 landscape architect. </w:t>
            </w:r>
          </w:p>
        </w:tc>
      </w:tr>
      <w:tr w:rsidR="00581406" w14:paraId="5EE8C580" w14:textId="77777777" w:rsidTr="00725DD4">
        <w:trPr>
          <w:trHeight w:val="11902"/>
        </w:trPr>
        <w:tc>
          <w:tcPr>
            <w:tcW w:w="4536" w:type="dxa"/>
          </w:tcPr>
          <w:p w14:paraId="440F9350" w14:textId="5D167133" w:rsidR="00581406" w:rsidRDefault="00581406" w:rsidP="00D80E55">
            <w:pPr>
              <w:pStyle w:val="TableNumber"/>
            </w:pPr>
            <w:r>
              <w:t>Landscape Proposal</w:t>
            </w:r>
          </w:p>
          <w:p w14:paraId="24933BBB" w14:textId="77777777" w:rsidR="00581406" w:rsidRDefault="00581406" w:rsidP="00D80E55">
            <w:pPr>
              <w:pStyle w:val="TableText"/>
            </w:pPr>
            <w:r>
              <w:t>Council requires submission of a Site Analysis Plan and/or Detailed Landscape Plan, as listed in Table 1 to demonstrate the full and advanced understanding of:</w:t>
            </w:r>
          </w:p>
          <w:p w14:paraId="3F673C57" w14:textId="64802B07" w:rsidR="00581406" w:rsidRDefault="00581406" w:rsidP="00D80E55">
            <w:pPr>
              <w:pStyle w:val="TableAlpha"/>
              <w:numPr>
                <w:ilvl w:val="0"/>
                <w:numId w:val="50"/>
              </w:numPr>
            </w:pPr>
            <w:r>
              <w:t>the existing site and its landscape features;</w:t>
            </w:r>
          </w:p>
          <w:p w14:paraId="7682B36A" w14:textId="617DB481" w:rsidR="00581406" w:rsidRDefault="00581406" w:rsidP="00D80E55">
            <w:pPr>
              <w:pStyle w:val="TableAlpha"/>
            </w:pPr>
            <w:r>
              <w:t>the existing surrounding land use and neighbourhood character;</w:t>
            </w:r>
          </w:p>
          <w:p w14:paraId="0F29D33C" w14:textId="54118D86" w:rsidR="00581406" w:rsidRDefault="00581406" w:rsidP="00D80E55">
            <w:pPr>
              <w:pStyle w:val="TableAlpha"/>
            </w:pPr>
            <w:r>
              <w:t>the influence the existing and any proposed development may have on the amenity of the area; and</w:t>
            </w:r>
          </w:p>
          <w:p w14:paraId="529963A9" w14:textId="3BC9BAD1" w:rsidR="00581406" w:rsidRDefault="00581406" w:rsidP="00D80E55">
            <w:pPr>
              <w:pStyle w:val="TableAlpha"/>
            </w:pPr>
            <w:r>
              <w:t>future proposed surface treatment of the open space created by the development proposal.</w:t>
            </w:r>
          </w:p>
          <w:p w14:paraId="61913371" w14:textId="77777777" w:rsidR="00581406" w:rsidRDefault="00581406" w:rsidP="00D80E55">
            <w:pPr>
              <w:pStyle w:val="TableText"/>
            </w:pPr>
            <w:r>
              <w:t>When submitting applications for development approval the following information is required according to the type of development and the level of impact on the site and its surrounding environment:</w:t>
            </w:r>
          </w:p>
          <w:p w14:paraId="1A6F6938" w14:textId="77777777" w:rsidR="00581406" w:rsidRDefault="00581406" w:rsidP="00D80E55">
            <w:pPr>
              <w:pStyle w:val="TableText"/>
            </w:pPr>
            <w:r>
              <w:t>Detailed Landscape Plan</w:t>
            </w:r>
          </w:p>
          <w:p w14:paraId="3F2443CA" w14:textId="77777777" w:rsidR="00581406" w:rsidRDefault="00581406" w:rsidP="00D80E55">
            <w:pPr>
              <w:pStyle w:val="TableText"/>
            </w:pPr>
            <w:r>
              <w:t>The landscape plan shall be concise, detailed, and suitable for tendering, contract and subsequent construction. Detailed landscape plans must be approved as part of the development consent. Substantial changes will require either a new Development Application or other approval for variation.</w:t>
            </w:r>
          </w:p>
          <w:p w14:paraId="468A7B04" w14:textId="77777777" w:rsidR="00581406" w:rsidRPr="00211B46" w:rsidRDefault="00581406" w:rsidP="00D80E55">
            <w:pPr>
              <w:pStyle w:val="TableText"/>
            </w:pPr>
            <w:r>
              <w:t>Information required for a detailed landscape plan: (Address where necessary and appropriate)</w:t>
            </w:r>
          </w:p>
          <w:p w14:paraId="499E1DDF" w14:textId="77777777" w:rsidR="00581406" w:rsidRDefault="00581406" w:rsidP="00D80E55">
            <w:pPr>
              <w:pStyle w:val="TableNumber"/>
            </w:pPr>
            <w:r>
              <w:t>Elements of the natural environment</w:t>
            </w:r>
          </w:p>
          <w:p w14:paraId="51ECD08C" w14:textId="77777777" w:rsidR="00581406" w:rsidRDefault="00581406" w:rsidP="00D80E55">
            <w:pPr>
              <w:pStyle w:val="TableAlpha"/>
              <w:numPr>
                <w:ilvl w:val="0"/>
                <w:numId w:val="51"/>
              </w:numPr>
            </w:pPr>
            <w:r>
              <w:t>Natural elements to be retained and/or removed including plants, habitats, rock platforms, other natural features</w:t>
            </w:r>
          </w:p>
          <w:p w14:paraId="05097137" w14:textId="77777777" w:rsidR="00581406" w:rsidRDefault="00581406" w:rsidP="00D80E55">
            <w:pPr>
              <w:pStyle w:val="TableAlpha"/>
            </w:pPr>
            <w:r>
              <w:t>Existing and proposed underground and overhead services and potential effect on canopy or root system</w:t>
            </w:r>
          </w:p>
          <w:p w14:paraId="5649031A" w14:textId="77777777" w:rsidR="00581406" w:rsidRDefault="00581406" w:rsidP="00D80E55">
            <w:pPr>
              <w:pStyle w:val="TableAlpha"/>
            </w:pPr>
            <w:r>
              <w:t>Vegetation Management Plan that details methods proposed to protect vegetation during and after completion of the construction works</w:t>
            </w:r>
          </w:p>
          <w:p w14:paraId="2308B41B" w14:textId="4A08D828" w:rsidR="00581406" w:rsidRPr="00211B46" w:rsidRDefault="00581406" w:rsidP="00D80E55">
            <w:pPr>
              <w:pStyle w:val="TableAlpha"/>
            </w:pPr>
            <w:r>
              <w:t>Where these natural elements are to be relocated or removed the plan will justify this action</w:t>
            </w:r>
          </w:p>
        </w:tc>
        <w:tc>
          <w:tcPr>
            <w:tcW w:w="5103" w:type="dxa"/>
          </w:tcPr>
          <w:p w14:paraId="1FF24348" w14:textId="77777777" w:rsidR="00581406" w:rsidRDefault="00581406" w:rsidP="009A1A64">
            <w:pPr>
              <w:pStyle w:val="TableText"/>
            </w:pPr>
          </w:p>
        </w:tc>
        <w:tc>
          <w:tcPr>
            <w:tcW w:w="4931" w:type="dxa"/>
          </w:tcPr>
          <w:p w14:paraId="13C98A37" w14:textId="4EC04A02" w:rsidR="00581406" w:rsidRPr="0054542C" w:rsidRDefault="00581406" w:rsidP="009A1A64">
            <w:pPr>
              <w:pStyle w:val="TableText"/>
              <w:rPr>
                <w:b/>
                <w:bCs/>
              </w:rPr>
            </w:pPr>
            <w:bookmarkStart w:id="1" w:name="_Hlk39001399"/>
            <w:r w:rsidRPr="0054542C">
              <w:rPr>
                <w:b/>
                <w:bCs/>
              </w:rPr>
              <w:t>Complies.</w:t>
            </w:r>
          </w:p>
          <w:p w14:paraId="41268042" w14:textId="481CCBF6" w:rsidR="00581406" w:rsidRDefault="00581406" w:rsidP="009A1A64">
            <w:pPr>
              <w:pStyle w:val="TableText"/>
            </w:pPr>
            <w:r>
              <w:t>A Landscape Plan is provided at Appendix B. It includes:</w:t>
            </w:r>
          </w:p>
          <w:p w14:paraId="061D8DD7" w14:textId="577976B7" w:rsidR="00581406" w:rsidRDefault="00581406" w:rsidP="009A1A64">
            <w:pPr>
              <w:pStyle w:val="TableText"/>
            </w:pPr>
            <w:r>
              <w:t xml:space="preserve">Site analysis included design principles and design intent/desired character for the landscape area and public realm, including the identification of precincts (the entry and forecourt, civic space, and passage and laneways) as well as the rooftop garden. </w:t>
            </w:r>
          </w:p>
          <w:p w14:paraId="1E9511CA" w14:textId="5AD3BCC0" w:rsidR="00581406" w:rsidRDefault="00581406" w:rsidP="00D50032">
            <w:pPr>
              <w:pStyle w:val="TableText"/>
            </w:pPr>
            <w:r>
              <w:t xml:space="preserve">Understanding of immediate site context including adjacent development and heritage elements. </w:t>
            </w:r>
          </w:p>
          <w:p w14:paraId="1DC14492" w14:textId="28C38482" w:rsidR="00581406" w:rsidRDefault="00581406" w:rsidP="00D50032">
            <w:pPr>
              <w:pStyle w:val="TableText"/>
            </w:pPr>
            <w:r>
              <w:t>Understanding of broader site context including surrounding development, street frontages and connectivity to the CBD.</w:t>
            </w:r>
          </w:p>
          <w:p w14:paraId="733E22E6" w14:textId="29AA8C35" w:rsidR="00581406" w:rsidRDefault="00581406" w:rsidP="00A25F54">
            <w:pPr>
              <w:pStyle w:val="TableText"/>
            </w:pPr>
            <w:r>
              <w:t xml:space="preserve">Surface treatments for all public and private spaces have been considered. </w:t>
            </w:r>
            <w:bookmarkEnd w:id="1"/>
          </w:p>
          <w:p w14:paraId="0F335600" w14:textId="7ED2ACDA" w:rsidR="00581406" w:rsidRPr="00A25F54" w:rsidRDefault="00581406" w:rsidP="00A25F54">
            <w:pPr>
              <w:pStyle w:val="TableText"/>
            </w:pPr>
            <w:r>
              <w:t>The overall design proposes a high level of public amenity, including the large forecourt to Crawford Street.  which includes new and retained trees</w:t>
            </w:r>
          </w:p>
          <w:p w14:paraId="2C0BE1F9" w14:textId="66A27028" w:rsidR="00581406" w:rsidRDefault="00581406" w:rsidP="009A1A64">
            <w:pPr>
              <w:pStyle w:val="TableText"/>
            </w:pPr>
          </w:p>
        </w:tc>
      </w:tr>
      <w:tr w:rsidR="00D80E55" w14:paraId="78102124" w14:textId="77777777" w:rsidTr="00D62A08">
        <w:tc>
          <w:tcPr>
            <w:tcW w:w="4536" w:type="dxa"/>
          </w:tcPr>
          <w:p w14:paraId="2AE3B2DC" w14:textId="77777777" w:rsidR="00D80E55" w:rsidRDefault="00D80E55" w:rsidP="00D80E55">
            <w:pPr>
              <w:pStyle w:val="TableNumber"/>
            </w:pPr>
            <w:r>
              <w:t>Management of Water on the Site (Preparation of a Soil, Water and Vegetation Management Plan)</w:t>
            </w:r>
          </w:p>
          <w:p w14:paraId="7C516282" w14:textId="70E2316D" w:rsidR="00D80E55" w:rsidRDefault="00D80E55" w:rsidP="00D80E55">
            <w:pPr>
              <w:pStyle w:val="TableAlpha"/>
              <w:numPr>
                <w:ilvl w:val="0"/>
                <w:numId w:val="52"/>
              </w:numPr>
            </w:pPr>
            <w:r>
              <w:t>Protection from detrimental upstream effects</w:t>
            </w:r>
          </w:p>
          <w:p w14:paraId="593D0518" w14:textId="15076F89" w:rsidR="00D80E55" w:rsidRDefault="00D80E55" w:rsidP="00D80E55">
            <w:pPr>
              <w:pStyle w:val="TableAlpha"/>
              <w:numPr>
                <w:ilvl w:val="0"/>
                <w:numId w:val="52"/>
              </w:numPr>
            </w:pPr>
            <w:r>
              <w:t>Surface and subsurface site drainage details and location of pits, lines and water detention systems</w:t>
            </w:r>
          </w:p>
          <w:p w14:paraId="14F94AE7" w14:textId="57234F98" w:rsidR="00D80E55" w:rsidRDefault="00D80E55" w:rsidP="00D80E55">
            <w:pPr>
              <w:pStyle w:val="TableAlpha"/>
              <w:numPr>
                <w:ilvl w:val="0"/>
                <w:numId w:val="52"/>
              </w:numPr>
            </w:pPr>
            <w:r>
              <w:t>Impact of development on the volume of stormwater runoff leaving the site and the expected volume</w:t>
            </w:r>
          </w:p>
          <w:p w14:paraId="3ABB49F3" w14:textId="22E38BDC" w:rsidR="00D80E55" w:rsidRDefault="00D80E55" w:rsidP="00D80E55">
            <w:pPr>
              <w:pStyle w:val="TableAlpha"/>
              <w:numPr>
                <w:ilvl w:val="0"/>
                <w:numId w:val="52"/>
              </w:numPr>
            </w:pPr>
            <w:r>
              <w:t>Measures to ensure that water leaving the site meets the water quality standards particularly during demolition and construction.</w:t>
            </w:r>
          </w:p>
          <w:p w14:paraId="28B40203" w14:textId="48D82326" w:rsidR="00D80E55" w:rsidRDefault="00D80E55" w:rsidP="00D80E55">
            <w:pPr>
              <w:pStyle w:val="TableAlpha"/>
              <w:numPr>
                <w:ilvl w:val="0"/>
                <w:numId w:val="52"/>
              </w:numPr>
            </w:pPr>
            <w:r>
              <w:t>Measures proposed to minimise water consumption, irrigation layout and/or tap location</w:t>
            </w:r>
          </w:p>
        </w:tc>
        <w:tc>
          <w:tcPr>
            <w:tcW w:w="5103" w:type="dxa"/>
          </w:tcPr>
          <w:p w14:paraId="1CBE007D" w14:textId="77777777" w:rsidR="00D80E55" w:rsidRDefault="00D80E55" w:rsidP="009A1A64">
            <w:pPr>
              <w:pStyle w:val="TableText"/>
            </w:pPr>
          </w:p>
        </w:tc>
        <w:tc>
          <w:tcPr>
            <w:tcW w:w="4931" w:type="dxa"/>
          </w:tcPr>
          <w:p w14:paraId="11A24772" w14:textId="49EA3089" w:rsidR="00D80E55" w:rsidRDefault="00581406" w:rsidP="009A1A64">
            <w:pPr>
              <w:pStyle w:val="TableText"/>
            </w:pPr>
            <w:r>
              <w:rPr>
                <w:b/>
                <w:bCs/>
              </w:rPr>
              <w:t xml:space="preserve">Compliance through consent </w:t>
            </w:r>
          </w:p>
          <w:p w14:paraId="40257541" w14:textId="1D33E752" w:rsidR="00F2397F" w:rsidRDefault="00F2397F" w:rsidP="009A1A64">
            <w:pPr>
              <w:pStyle w:val="TableText"/>
            </w:pPr>
            <w:r>
              <w:t xml:space="preserve">The Sustainability Report (Appendix H) indicates that the landscape irrigation will comply with drip irrigation with moisture sensor override or use non potable water. </w:t>
            </w:r>
          </w:p>
        </w:tc>
      </w:tr>
      <w:tr w:rsidR="00D80E55" w14:paraId="134D7C39" w14:textId="77777777" w:rsidTr="00D62A08">
        <w:tc>
          <w:tcPr>
            <w:tcW w:w="4536" w:type="dxa"/>
          </w:tcPr>
          <w:p w14:paraId="4CF1E5DB" w14:textId="77777777" w:rsidR="00D80E55" w:rsidRDefault="00D80E55" w:rsidP="00D80E55">
            <w:pPr>
              <w:pStyle w:val="TableNumber"/>
            </w:pPr>
            <w:r>
              <w:t>Ground treatments</w:t>
            </w:r>
          </w:p>
          <w:p w14:paraId="770BE59C" w14:textId="6E277B78" w:rsidR="00D80E55" w:rsidRDefault="00D80E55" w:rsidP="00D80E55">
            <w:pPr>
              <w:pStyle w:val="TableAlpha"/>
              <w:numPr>
                <w:ilvl w:val="0"/>
                <w:numId w:val="53"/>
              </w:numPr>
            </w:pPr>
            <w:r>
              <w:t>Proposed design levels showing that changes of level will not have an adverse effect on the plants and natural features</w:t>
            </w:r>
          </w:p>
          <w:p w14:paraId="253D5C23" w14:textId="34E9EB3A" w:rsidR="00D80E55" w:rsidRDefault="00D80E55" w:rsidP="00D80E55">
            <w:pPr>
              <w:pStyle w:val="TableAlpha"/>
              <w:numPr>
                <w:ilvl w:val="0"/>
                <w:numId w:val="53"/>
              </w:numPr>
            </w:pPr>
            <w:r>
              <w:t>Preparation, types and depths of existing and proposed soils</w:t>
            </w:r>
          </w:p>
        </w:tc>
        <w:tc>
          <w:tcPr>
            <w:tcW w:w="5103" w:type="dxa"/>
          </w:tcPr>
          <w:p w14:paraId="3E0479B1" w14:textId="77777777" w:rsidR="00D80E55" w:rsidRDefault="00D80E55" w:rsidP="009A1A64">
            <w:pPr>
              <w:pStyle w:val="TableText"/>
            </w:pPr>
          </w:p>
        </w:tc>
        <w:tc>
          <w:tcPr>
            <w:tcW w:w="4931" w:type="dxa"/>
          </w:tcPr>
          <w:p w14:paraId="17FC4C6D" w14:textId="77777777" w:rsidR="00581406" w:rsidRDefault="00581406" w:rsidP="009A1A64">
            <w:pPr>
              <w:pStyle w:val="TableText"/>
              <w:rPr>
                <w:b/>
                <w:bCs/>
              </w:rPr>
            </w:pPr>
            <w:r>
              <w:rPr>
                <w:b/>
                <w:bCs/>
              </w:rPr>
              <w:t xml:space="preserve">Compliance through consent </w:t>
            </w:r>
          </w:p>
          <w:p w14:paraId="76E9686C" w14:textId="6BA5933C" w:rsidR="00D80E55" w:rsidRDefault="00F2397F" w:rsidP="009A1A64">
            <w:pPr>
              <w:pStyle w:val="TableText"/>
              <w:rPr>
                <w:b/>
                <w:bCs/>
              </w:rPr>
            </w:pPr>
            <w:r>
              <w:t>A Construction Impact Report was commissioned by Council, and includes a Tree Protection Plan. The Report notes that the northernmost pin oak (identified in the Landscape Plan as Tree 1) will have almost 100% impact and is not expected to survive the proposed works (constructing a solid raised garden bed and seating areas around the base of the tree).</w:t>
            </w:r>
          </w:p>
          <w:p w14:paraId="4CBD4002" w14:textId="78E4A70C" w:rsidR="00581406" w:rsidRDefault="00581406" w:rsidP="009A1A64">
            <w:pPr>
              <w:pStyle w:val="TableText"/>
            </w:pPr>
          </w:p>
        </w:tc>
      </w:tr>
      <w:tr w:rsidR="00D80E55" w14:paraId="136EDD48" w14:textId="77777777" w:rsidTr="00D62A08">
        <w:tc>
          <w:tcPr>
            <w:tcW w:w="4536" w:type="dxa"/>
          </w:tcPr>
          <w:p w14:paraId="34FC83CB" w14:textId="68E4B714" w:rsidR="00D80E55" w:rsidRDefault="00D80E55" w:rsidP="00D80E55">
            <w:pPr>
              <w:pStyle w:val="TableNumber"/>
            </w:pPr>
            <w:r w:rsidRPr="00D80E55">
              <w:t>Soil and Erosion and sedimentation control plan showing measures to protect the site and adjoining land from erosion and to control sedimentation during and after construction period</w:t>
            </w:r>
          </w:p>
        </w:tc>
        <w:tc>
          <w:tcPr>
            <w:tcW w:w="5103" w:type="dxa"/>
          </w:tcPr>
          <w:p w14:paraId="5658CD13" w14:textId="77777777" w:rsidR="00D80E55" w:rsidRDefault="00D80E55" w:rsidP="009A1A64">
            <w:pPr>
              <w:pStyle w:val="TableText"/>
            </w:pPr>
          </w:p>
        </w:tc>
        <w:tc>
          <w:tcPr>
            <w:tcW w:w="4931" w:type="dxa"/>
          </w:tcPr>
          <w:p w14:paraId="1BB8E663" w14:textId="79DC9522" w:rsidR="0054542C" w:rsidRPr="0054542C" w:rsidRDefault="0054542C" w:rsidP="009A1A64">
            <w:pPr>
              <w:pStyle w:val="TableText"/>
              <w:rPr>
                <w:b/>
                <w:bCs/>
              </w:rPr>
            </w:pPr>
            <w:r w:rsidRPr="0054542C">
              <w:rPr>
                <w:b/>
                <w:bCs/>
              </w:rPr>
              <w:t>Complies.</w:t>
            </w:r>
          </w:p>
          <w:p w14:paraId="6C7D240E" w14:textId="77777777" w:rsidR="00D80E55" w:rsidRDefault="009E2FA0" w:rsidP="009A1A64">
            <w:pPr>
              <w:pStyle w:val="TableText"/>
            </w:pPr>
            <w:r>
              <w:t xml:space="preserve">An Erosion and Sediment Control Plan is provided as part of the civil drawings. </w:t>
            </w:r>
          </w:p>
          <w:p w14:paraId="27C032F0" w14:textId="4762052C" w:rsidR="0054542C" w:rsidRDefault="0054542C" w:rsidP="009A1A64">
            <w:pPr>
              <w:pStyle w:val="TableText"/>
            </w:pPr>
            <w:r>
              <w:t>Management steps are considered appropriate.</w:t>
            </w:r>
          </w:p>
        </w:tc>
      </w:tr>
      <w:tr w:rsidR="00D80E55" w14:paraId="6FFF13C8" w14:textId="77777777" w:rsidTr="00D62A08">
        <w:tc>
          <w:tcPr>
            <w:tcW w:w="4536" w:type="dxa"/>
          </w:tcPr>
          <w:p w14:paraId="14A52972" w14:textId="77777777" w:rsidR="00D80E55" w:rsidRDefault="00D80E55" w:rsidP="00D80E55">
            <w:pPr>
              <w:pStyle w:val="TableNumber"/>
            </w:pPr>
            <w:r>
              <w:lastRenderedPageBreak/>
              <w:t>Site layout</w:t>
            </w:r>
          </w:p>
          <w:p w14:paraId="1F33B203" w14:textId="76712758" w:rsidR="00D80E55" w:rsidRDefault="00D80E55" w:rsidP="00D80E55">
            <w:pPr>
              <w:pStyle w:val="TableAlpha"/>
              <w:numPr>
                <w:ilvl w:val="0"/>
                <w:numId w:val="54"/>
              </w:numPr>
            </w:pPr>
            <w:r>
              <w:t>Details for special treatments (weed eradication, creek banks, roof gardens)</w:t>
            </w:r>
          </w:p>
          <w:p w14:paraId="1D40EE64" w14:textId="22051670" w:rsidR="00D80E55" w:rsidRDefault="00D80E55" w:rsidP="00D80E55">
            <w:pPr>
              <w:pStyle w:val="TableAlpha"/>
              <w:numPr>
                <w:ilvl w:val="0"/>
                <w:numId w:val="54"/>
              </w:numPr>
            </w:pPr>
            <w:r>
              <w:t>Location of utility areas and screening details (eg garbage and recyclable areas, play areas, common open space, staff recreation areas),</w:t>
            </w:r>
          </w:p>
          <w:p w14:paraId="69E112FE" w14:textId="2C95B64D" w:rsidR="00D80E55" w:rsidRDefault="00D80E55" w:rsidP="00D80E55">
            <w:pPr>
              <w:pStyle w:val="TableAlpha"/>
              <w:numPr>
                <w:ilvl w:val="0"/>
                <w:numId w:val="54"/>
              </w:numPr>
            </w:pPr>
            <w:r>
              <w:t>Location and details of lighting and other outdoor fixtures</w:t>
            </w:r>
          </w:p>
        </w:tc>
        <w:tc>
          <w:tcPr>
            <w:tcW w:w="5103" w:type="dxa"/>
          </w:tcPr>
          <w:p w14:paraId="7AA29C7F" w14:textId="77777777" w:rsidR="00D80E55" w:rsidRDefault="00D80E55" w:rsidP="009A1A64">
            <w:pPr>
              <w:pStyle w:val="TableText"/>
            </w:pPr>
          </w:p>
        </w:tc>
        <w:tc>
          <w:tcPr>
            <w:tcW w:w="4931" w:type="dxa"/>
          </w:tcPr>
          <w:p w14:paraId="500CF5A6" w14:textId="50DF774D" w:rsidR="0054542C" w:rsidRPr="0054542C" w:rsidRDefault="0054542C" w:rsidP="009A1A64">
            <w:pPr>
              <w:pStyle w:val="TableText"/>
              <w:rPr>
                <w:b/>
                <w:bCs/>
              </w:rPr>
            </w:pPr>
            <w:r w:rsidRPr="0054542C">
              <w:rPr>
                <w:b/>
                <w:bCs/>
              </w:rPr>
              <w:t xml:space="preserve">Complies. </w:t>
            </w:r>
          </w:p>
          <w:p w14:paraId="4170EE8A" w14:textId="1E5222C7" w:rsidR="009E2FA0" w:rsidRDefault="009E2FA0" w:rsidP="009A1A64">
            <w:pPr>
              <w:pStyle w:val="TableText"/>
            </w:pPr>
            <w:r>
              <w:t>The Landscape Plan provides details of utility areas, which are located in a restricted access service lane and separated from the public realm areas.</w:t>
            </w:r>
          </w:p>
          <w:p w14:paraId="4B5AA880" w14:textId="6BD96419" w:rsidR="009E2FA0" w:rsidRDefault="009E2FA0" w:rsidP="009A1A64">
            <w:pPr>
              <w:pStyle w:val="TableText"/>
            </w:pPr>
            <w:r>
              <w:t xml:space="preserve">Lighting is detailed on the External Lighting Plan. </w:t>
            </w:r>
          </w:p>
        </w:tc>
      </w:tr>
      <w:tr w:rsidR="00D80E55" w14:paraId="457ED9E5" w14:textId="77777777" w:rsidTr="00D62A08">
        <w:tc>
          <w:tcPr>
            <w:tcW w:w="4536" w:type="dxa"/>
          </w:tcPr>
          <w:p w14:paraId="39C51F25" w14:textId="77777777" w:rsidR="00D80E55" w:rsidRDefault="00D80E55" w:rsidP="00D80E55">
            <w:pPr>
              <w:pStyle w:val="TableNumber"/>
            </w:pPr>
            <w:r>
              <w:t>Built structures</w:t>
            </w:r>
          </w:p>
          <w:p w14:paraId="5A488EF4" w14:textId="13CDA206" w:rsidR="00D80E55" w:rsidRDefault="00D80E55" w:rsidP="00D80E55">
            <w:pPr>
              <w:pStyle w:val="TableAlpha"/>
              <w:numPr>
                <w:ilvl w:val="0"/>
                <w:numId w:val="55"/>
              </w:numPr>
            </w:pPr>
            <w:r>
              <w:t>Existing and proposed buildings and other structures(including finished levels)</w:t>
            </w:r>
          </w:p>
          <w:p w14:paraId="2CA10F8B" w14:textId="54C0D24C" w:rsidR="00D80E55" w:rsidRDefault="00D80E55" w:rsidP="00D80E55">
            <w:pPr>
              <w:pStyle w:val="TableAlpha"/>
            </w:pPr>
            <w:r>
              <w:t>Roadways, driveways, carparks and other hard surface areas</w:t>
            </w:r>
          </w:p>
          <w:p w14:paraId="39DE065D" w14:textId="5CA0D8B6" w:rsidR="00D80E55" w:rsidRDefault="00D80E55" w:rsidP="00D80E55">
            <w:pPr>
              <w:pStyle w:val="TableAlpha"/>
            </w:pPr>
            <w:r>
              <w:t>Existing and proposed walls, fences and retaining walls (including materials, height and levels)</w:t>
            </w:r>
          </w:p>
          <w:p w14:paraId="3E6A59B3" w14:textId="665881DA" w:rsidR="00D80E55" w:rsidRDefault="00D80E55" w:rsidP="00D80E55">
            <w:pPr>
              <w:pStyle w:val="TableAlpha"/>
            </w:pPr>
            <w:r>
              <w:t>Overshadowing caused by proposed built structures</w:t>
            </w:r>
          </w:p>
        </w:tc>
        <w:tc>
          <w:tcPr>
            <w:tcW w:w="5103" w:type="dxa"/>
          </w:tcPr>
          <w:p w14:paraId="10FFFF52" w14:textId="77777777" w:rsidR="00D80E55" w:rsidRDefault="00D80E55" w:rsidP="009A1A64">
            <w:pPr>
              <w:pStyle w:val="TableText"/>
            </w:pPr>
          </w:p>
        </w:tc>
        <w:tc>
          <w:tcPr>
            <w:tcW w:w="4931" w:type="dxa"/>
          </w:tcPr>
          <w:p w14:paraId="55DE19AA" w14:textId="756B989A" w:rsidR="0054542C" w:rsidRPr="0054542C" w:rsidRDefault="0054542C" w:rsidP="009A1A64">
            <w:pPr>
              <w:pStyle w:val="TableText"/>
              <w:rPr>
                <w:b/>
                <w:bCs/>
              </w:rPr>
            </w:pPr>
            <w:r w:rsidRPr="0054542C">
              <w:rPr>
                <w:b/>
                <w:bCs/>
              </w:rPr>
              <w:t>Complies.</w:t>
            </w:r>
          </w:p>
          <w:p w14:paraId="47F2B7B8" w14:textId="27F0A45C" w:rsidR="00D80E55" w:rsidRDefault="009E2FA0" w:rsidP="009A1A64">
            <w:pPr>
              <w:pStyle w:val="TableText"/>
            </w:pPr>
            <w:r>
              <w:t xml:space="preserve">The Landscape Plan provides details of built structures include pavement details for the service laneway, paved walkways and public realm hard surfaces. </w:t>
            </w:r>
          </w:p>
        </w:tc>
      </w:tr>
      <w:tr w:rsidR="00D80E55" w14:paraId="2213E5EA" w14:textId="77777777" w:rsidTr="00D62A08">
        <w:tc>
          <w:tcPr>
            <w:tcW w:w="4536" w:type="dxa"/>
          </w:tcPr>
          <w:p w14:paraId="5ADA77C6" w14:textId="77777777" w:rsidR="00D80E55" w:rsidRDefault="00D80E55" w:rsidP="00D80E55">
            <w:pPr>
              <w:pStyle w:val="TableNumber"/>
            </w:pPr>
            <w:r>
              <w:t>Plant selection</w:t>
            </w:r>
          </w:p>
          <w:p w14:paraId="0A31C03F" w14:textId="356B5B6B" w:rsidR="00D80E55" w:rsidRDefault="00D80E55" w:rsidP="00D80E55">
            <w:pPr>
              <w:pStyle w:val="TableAlpha"/>
              <w:numPr>
                <w:ilvl w:val="0"/>
                <w:numId w:val="56"/>
              </w:numPr>
            </w:pPr>
            <w:r>
              <w:t>Plant layout plan showing location of species, size, maturity including street trees, trees on site, shrubs, groundcovers, grasses,</w:t>
            </w:r>
          </w:p>
          <w:p w14:paraId="5DEC11AC" w14:textId="59407FC9" w:rsidR="00D80E55" w:rsidRDefault="00D80E55" w:rsidP="00D80E55">
            <w:pPr>
              <w:pStyle w:val="TableAlpha"/>
            </w:pPr>
            <w:r>
              <w:t>Planting schedule with botanical and common names, whether deciduous or evergreen and local, native, exotic species, container size, quantities, and staking and tying requirements for all species nominated</w:t>
            </w:r>
          </w:p>
        </w:tc>
        <w:tc>
          <w:tcPr>
            <w:tcW w:w="5103" w:type="dxa"/>
          </w:tcPr>
          <w:p w14:paraId="446EDF3B" w14:textId="77777777" w:rsidR="00D80E55" w:rsidRDefault="00D80E55" w:rsidP="009A1A64">
            <w:pPr>
              <w:pStyle w:val="TableText"/>
            </w:pPr>
          </w:p>
        </w:tc>
        <w:tc>
          <w:tcPr>
            <w:tcW w:w="4931" w:type="dxa"/>
          </w:tcPr>
          <w:p w14:paraId="35DA1AB3" w14:textId="77777777" w:rsidR="0054542C" w:rsidRPr="0054542C" w:rsidRDefault="0054542C" w:rsidP="0054542C">
            <w:pPr>
              <w:pStyle w:val="TableText"/>
              <w:rPr>
                <w:b/>
                <w:bCs/>
              </w:rPr>
            </w:pPr>
            <w:r w:rsidRPr="0054542C">
              <w:rPr>
                <w:b/>
                <w:bCs/>
              </w:rPr>
              <w:t>Complies.</w:t>
            </w:r>
          </w:p>
          <w:p w14:paraId="6C76BBEA" w14:textId="4B1C1BB9" w:rsidR="0054542C" w:rsidRDefault="0054542C" w:rsidP="0054542C">
            <w:pPr>
              <w:pStyle w:val="TableText"/>
            </w:pPr>
            <w:r>
              <w:t xml:space="preserve">The Landscape Plan provides an appropriate selection of plants of different species, sizes and maturity. </w:t>
            </w:r>
          </w:p>
        </w:tc>
      </w:tr>
      <w:tr w:rsidR="00D80E55" w14:paraId="35687291" w14:textId="77777777" w:rsidTr="00D62A08">
        <w:tc>
          <w:tcPr>
            <w:tcW w:w="4536" w:type="dxa"/>
          </w:tcPr>
          <w:p w14:paraId="242DABBC" w14:textId="46E20F26" w:rsidR="00D80E55" w:rsidRDefault="00D80E55" w:rsidP="00D80E55">
            <w:pPr>
              <w:pStyle w:val="TableNumber"/>
            </w:pPr>
            <w:r>
              <w:t>Construction detail</w:t>
            </w:r>
          </w:p>
          <w:p w14:paraId="07220C30" w14:textId="4737C38A" w:rsidR="00D80E55" w:rsidRDefault="00D80E55" w:rsidP="00D80E55">
            <w:pPr>
              <w:pStyle w:val="TableAlpha"/>
              <w:numPr>
                <w:ilvl w:val="0"/>
                <w:numId w:val="57"/>
              </w:numPr>
            </w:pPr>
            <w:r>
              <w:t>Standard construction and detail drawings (eg. sections through mass planting beds, tree planting and mulching details, paths, steps, retaining walls)</w:t>
            </w:r>
          </w:p>
          <w:p w14:paraId="19FCAA03" w14:textId="7F221C15" w:rsidR="00D80E55" w:rsidRDefault="00D80E55" w:rsidP="00D80E55">
            <w:pPr>
              <w:pStyle w:val="TableAlpha"/>
              <w:numPr>
                <w:ilvl w:val="0"/>
                <w:numId w:val="57"/>
              </w:numPr>
            </w:pPr>
            <w:r>
              <w:lastRenderedPageBreak/>
              <w:t>Detailing and location of all edge treatments (eg. concrete, brick, timber)</w:t>
            </w:r>
          </w:p>
        </w:tc>
        <w:tc>
          <w:tcPr>
            <w:tcW w:w="5103" w:type="dxa"/>
          </w:tcPr>
          <w:p w14:paraId="0D12E69F" w14:textId="77777777" w:rsidR="00D80E55" w:rsidRDefault="00D80E55" w:rsidP="009A1A64">
            <w:pPr>
              <w:pStyle w:val="TableText"/>
            </w:pPr>
          </w:p>
        </w:tc>
        <w:tc>
          <w:tcPr>
            <w:tcW w:w="4931" w:type="dxa"/>
          </w:tcPr>
          <w:p w14:paraId="5D1AB3DC" w14:textId="77777777" w:rsidR="00AF6F19" w:rsidRPr="0054542C" w:rsidRDefault="00AF6F19" w:rsidP="00AF6F19">
            <w:pPr>
              <w:pStyle w:val="TableText"/>
              <w:rPr>
                <w:b/>
                <w:bCs/>
              </w:rPr>
            </w:pPr>
            <w:r w:rsidRPr="0068355C">
              <w:rPr>
                <w:b/>
                <w:bCs/>
              </w:rPr>
              <w:t>Not determined</w:t>
            </w:r>
            <w:r>
              <w:t>.</w:t>
            </w:r>
          </w:p>
          <w:p w14:paraId="59BA4389" w14:textId="77777777" w:rsidR="00D80E55" w:rsidRDefault="00AF6F19" w:rsidP="009A1A64">
            <w:pPr>
              <w:pStyle w:val="TableText"/>
            </w:pPr>
            <w:r>
              <w:t xml:space="preserve">Construction details are not included in the Landscape Plan for public realm planting. </w:t>
            </w:r>
            <w:r w:rsidR="00E81321">
              <w:t xml:space="preserve">Landscape sections are only provided for Rooftop Garden. </w:t>
            </w:r>
          </w:p>
          <w:p w14:paraId="292617B6" w14:textId="69867564" w:rsidR="00E81321" w:rsidRDefault="00E81321" w:rsidP="009A1A64">
            <w:pPr>
              <w:pStyle w:val="TableText"/>
            </w:pPr>
            <w:r>
              <w:lastRenderedPageBreak/>
              <w:t>Details are not provided in Civil Works package.</w:t>
            </w:r>
          </w:p>
        </w:tc>
      </w:tr>
      <w:tr w:rsidR="00D80E55" w14:paraId="4E9C655D" w14:textId="77777777" w:rsidTr="00D62A08">
        <w:tc>
          <w:tcPr>
            <w:tcW w:w="4536" w:type="dxa"/>
          </w:tcPr>
          <w:p w14:paraId="4BB9AF49" w14:textId="77777777" w:rsidR="00D80E55" w:rsidRDefault="00D80E55" w:rsidP="00D80E55">
            <w:pPr>
              <w:pStyle w:val="TableNumber"/>
            </w:pPr>
            <w:r>
              <w:lastRenderedPageBreak/>
              <w:t>Construction site management</w:t>
            </w:r>
          </w:p>
          <w:p w14:paraId="2D865A83" w14:textId="0B1DFE75" w:rsidR="00D80E55" w:rsidRDefault="00D80E55" w:rsidP="00D80E55">
            <w:pPr>
              <w:pStyle w:val="TableAlpha"/>
              <w:numPr>
                <w:ilvl w:val="0"/>
                <w:numId w:val="58"/>
              </w:numPr>
            </w:pPr>
            <w:r>
              <w:t>Noise and dust management</w:t>
            </w:r>
          </w:p>
          <w:p w14:paraId="164B2903" w14:textId="69234711" w:rsidR="00D80E55" w:rsidRDefault="00D80E55" w:rsidP="00D80E55">
            <w:pPr>
              <w:pStyle w:val="TableAlpha"/>
            </w:pPr>
            <w:r>
              <w:t>Storage of construction and landscaping material</w:t>
            </w:r>
          </w:p>
          <w:p w14:paraId="5C710E43" w14:textId="265E419B" w:rsidR="00D80E55" w:rsidRDefault="00D80E55" w:rsidP="00D80E55">
            <w:pPr>
              <w:pStyle w:val="TableAlpha"/>
            </w:pPr>
            <w:r>
              <w:t>Storage, handling and use of Dangerous and Hazardous goods and the disposal of containers</w:t>
            </w:r>
          </w:p>
          <w:p w14:paraId="2EDB2165" w14:textId="78D6938A" w:rsidR="00D80E55" w:rsidRDefault="00D80E55" w:rsidP="00D80E55">
            <w:pPr>
              <w:pStyle w:val="TableAlpha"/>
            </w:pPr>
            <w:r>
              <w:t>Emergency procedures (eg. materials, spill and pollution control, site flooding and mop-up)</w:t>
            </w:r>
          </w:p>
        </w:tc>
        <w:tc>
          <w:tcPr>
            <w:tcW w:w="5103" w:type="dxa"/>
          </w:tcPr>
          <w:p w14:paraId="279CE899" w14:textId="77777777" w:rsidR="00D80E55" w:rsidRDefault="00D80E55" w:rsidP="009A1A64">
            <w:pPr>
              <w:pStyle w:val="TableText"/>
            </w:pPr>
          </w:p>
        </w:tc>
        <w:tc>
          <w:tcPr>
            <w:tcW w:w="4931" w:type="dxa"/>
          </w:tcPr>
          <w:p w14:paraId="5C6CE388" w14:textId="77777777" w:rsidR="00D80E55" w:rsidRPr="00E81321" w:rsidRDefault="00E81321" w:rsidP="009A1A64">
            <w:pPr>
              <w:pStyle w:val="TableText"/>
              <w:rPr>
                <w:b/>
                <w:bCs/>
              </w:rPr>
            </w:pPr>
            <w:r w:rsidRPr="00E81321">
              <w:rPr>
                <w:b/>
                <w:bCs/>
              </w:rPr>
              <w:t>Complies.</w:t>
            </w:r>
          </w:p>
          <w:p w14:paraId="4994054E" w14:textId="4BDD7834" w:rsidR="00E81321" w:rsidRDefault="00E81321" w:rsidP="009A1A64">
            <w:pPr>
              <w:pStyle w:val="TableText"/>
            </w:pPr>
            <w:r>
              <w:t xml:space="preserve">Details are provided with the Erosion and Sediment Control Plan and Civil Works package. </w:t>
            </w:r>
          </w:p>
        </w:tc>
      </w:tr>
      <w:tr w:rsidR="00581406" w14:paraId="38C02862" w14:textId="77777777" w:rsidTr="00D62A08">
        <w:tc>
          <w:tcPr>
            <w:tcW w:w="4536" w:type="dxa"/>
          </w:tcPr>
          <w:p w14:paraId="703C439E" w14:textId="264E5077" w:rsidR="00581406" w:rsidRDefault="00581406" w:rsidP="00D80E55">
            <w:pPr>
              <w:pStyle w:val="TableNumber"/>
            </w:pPr>
            <w:r w:rsidRPr="00D80E55">
              <w:t>Waste management plan that details daily waste and litter management and details of the reuse, recycling or disposal or excavated material, demolition and waste from builders and other contractors.</w:t>
            </w:r>
          </w:p>
        </w:tc>
        <w:tc>
          <w:tcPr>
            <w:tcW w:w="5103" w:type="dxa"/>
          </w:tcPr>
          <w:p w14:paraId="52FAF4F1" w14:textId="77777777" w:rsidR="00581406" w:rsidRDefault="00581406" w:rsidP="009A1A64">
            <w:pPr>
              <w:pStyle w:val="TableText"/>
            </w:pPr>
          </w:p>
        </w:tc>
        <w:tc>
          <w:tcPr>
            <w:tcW w:w="4931" w:type="dxa"/>
            <w:vMerge w:val="restart"/>
          </w:tcPr>
          <w:p w14:paraId="771A652D" w14:textId="0C2FDE0E" w:rsidR="00581406" w:rsidRPr="0054542C" w:rsidRDefault="00581406" w:rsidP="00E81321">
            <w:pPr>
              <w:pStyle w:val="TableText"/>
              <w:rPr>
                <w:b/>
                <w:bCs/>
              </w:rPr>
            </w:pPr>
            <w:r>
              <w:rPr>
                <w:b/>
                <w:bCs/>
              </w:rPr>
              <w:t xml:space="preserve">Compliance through consent </w:t>
            </w:r>
          </w:p>
          <w:p w14:paraId="7A0F91D1" w14:textId="77777777" w:rsidR="00581406" w:rsidRDefault="00581406" w:rsidP="009A1A64">
            <w:pPr>
              <w:pStyle w:val="TableText"/>
            </w:pPr>
            <w:r>
              <w:t xml:space="preserve">Landscape Plan does not include specific waste management plan for public realm. </w:t>
            </w:r>
          </w:p>
          <w:p w14:paraId="127D9CA7" w14:textId="10B940BF" w:rsidR="00581406" w:rsidRDefault="00581406" w:rsidP="009A1A64">
            <w:pPr>
              <w:pStyle w:val="TableText"/>
            </w:pPr>
          </w:p>
          <w:p w14:paraId="009394CD" w14:textId="4FDD8C56" w:rsidR="00581406" w:rsidRDefault="00581406" w:rsidP="00E81321">
            <w:pPr>
              <w:pStyle w:val="TableText"/>
            </w:pPr>
          </w:p>
        </w:tc>
      </w:tr>
      <w:tr w:rsidR="00581406" w14:paraId="5CEEDCCA" w14:textId="77777777" w:rsidTr="00D62A08">
        <w:tc>
          <w:tcPr>
            <w:tcW w:w="4536" w:type="dxa"/>
          </w:tcPr>
          <w:p w14:paraId="229EF116" w14:textId="77777777" w:rsidR="00581406" w:rsidRDefault="00581406" w:rsidP="00D80E55">
            <w:pPr>
              <w:pStyle w:val="TableNumber"/>
            </w:pPr>
            <w:r>
              <w:t>On-going maintenance</w:t>
            </w:r>
          </w:p>
          <w:p w14:paraId="53068A16" w14:textId="2E5C2F14" w:rsidR="00581406" w:rsidRDefault="00581406" w:rsidP="00D80E55">
            <w:pPr>
              <w:pStyle w:val="TableAlpha"/>
              <w:numPr>
                <w:ilvl w:val="0"/>
                <w:numId w:val="59"/>
              </w:numPr>
            </w:pPr>
            <w:r>
              <w:t>Replacement strategy for failures in plant material and built works</w:t>
            </w:r>
          </w:p>
        </w:tc>
        <w:tc>
          <w:tcPr>
            <w:tcW w:w="5103" w:type="dxa"/>
          </w:tcPr>
          <w:p w14:paraId="3CEC5671" w14:textId="77777777" w:rsidR="00581406" w:rsidRDefault="00581406" w:rsidP="009A1A64">
            <w:pPr>
              <w:pStyle w:val="TableText"/>
            </w:pPr>
          </w:p>
        </w:tc>
        <w:tc>
          <w:tcPr>
            <w:tcW w:w="4931" w:type="dxa"/>
            <w:vMerge/>
          </w:tcPr>
          <w:p w14:paraId="51BD0ED5" w14:textId="0AABC0C9" w:rsidR="00581406" w:rsidRDefault="00581406" w:rsidP="00E81321">
            <w:pPr>
              <w:pStyle w:val="TableText"/>
            </w:pPr>
          </w:p>
        </w:tc>
      </w:tr>
      <w:tr w:rsidR="00581406" w14:paraId="6B77A088" w14:textId="77777777" w:rsidTr="00D62A08">
        <w:tc>
          <w:tcPr>
            <w:tcW w:w="4536" w:type="dxa"/>
          </w:tcPr>
          <w:p w14:paraId="709A7B5D" w14:textId="7CFF74E7" w:rsidR="00581406" w:rsidRDefault="00581406" w:rsidP="00D80E55">
            <w:pPr>
              <w:pStyle w:val="TableNumber"/>
            </w:pPr>
            <w:r w:rsidRPr="00D80E55">
              <w:t>Maintenance schedule for watering, weeding and fertilising if required, of plants, for successful establishment for 12 months.</w:t>
            </w:r>
          </w:p>
          <w:p w14:paraId="67BA7A2A" w14:textId="7A09B1E5" w:rsidR="00581406" w:rsidRPr="00E81321" w:rsidRDefault="00581406" w:rsidP="00E81321">
            <w:pPr>
              <w:pStyle w:val="TableAlpha"/>
            </w:pPr>
            <w:r w:rsidRPr="00E81321">
              <w:t xml:space="preserve">Methods to deal with green waste (eg mulching to reduce weed and herbicide use) </w:t>
            </w:r>
          </w:p>
        </w:tc>
        <w:tc>
          <w:tcPr>
            <w:tcW w:w="5103" w:type="dxa"/>
          </w:tcPr>
          <w:p w14:paraId="77ED84E1" w14:textId="77777777" w:rsidR="00581406" w:rsidRDefault="00581406" w:rsidP="009A1A64">
            <w:pPr>
              <w:pStyle w:val="TableText"/>
            </w:pPr>
          </w:p>
        </w:tc>
        <w:tc>
          <w:tcPr>
            <w:tcW w:w="4931" w:type="dxa"/>
            <w:vMerge/>
          </w:tcPr>
          <w:p w14:paraId="6E0FB3F5" w14:textId="3AC10502" w:rsidR="00581406" w:rsidRDefault="00581406" w:rsidP="00E81321">
            <w:pPr>
              <w:pStyle w:val="TableText"/>
            </w:pPr>
          </w:p>
        </w:tc>
      </w:tr>
      <w:tr w:rsidR="001C3C39" w14:paraId="0F52E14E" w14:textId="77777777" w:rsidTr="000C2DD2">
        <w:tc>
          <w:tcPr>
            <w:tcW w:w="14570" w:type="dxa"/>
            <w:gridSpan w:val="3"/>
            <w:shd w:val="clear" w:color="auto" w:fill="B7B7B9" w:themeFill="accent2" w:themeFillTint="66"/>
          </w:tcPr>
          <w:p w14:paraId="0AB9A746" w14:textId="547F0700" w:rsidR="001C3C39" w:rsidRDefault="008F3628" w:rsidP="009A1A64">
            <w:pPr>
              <w:pStyle w:val="TableText"/>
            </w:pPr>
            <w:r>
              <w:rPr>
                <w:b/>
                <w:bCs/>
                <w:sz w:val="22"/>
              </w:rPr>
              <w:t>2.6.15 Plans</w:t>
            </w:r>
          </w:p>
        </w:tc>
      </w:tr>
      <w:tr w:rsidR="00D80E55" w14:paraId="6CA24944" w14:textId="77777777" w:rsidTr="00D62A08">
        <w:tc>
          <w:tcPr>
            <w:tcW w:w="4536" w:type="dxa"/>
          </w:tcPr>
          <w:p w14:paraId="281F8348" w14:textId="6157B5D3" w:rsidR="008F3628" w:rsidRDefault="008F3628" w:rsidP="008F3628">
            <w:pPr>
              <w:pStyle w:val="TableText"/>
            </w:pPr>
            <w:r>
              <w:t>In some instances ‘typical’ details and/or ‘typical’ sections to illustrate design detailing are useful to include (eg. planting detail, cut and fill, fencing and retaining walls on boundaries).</w:t>
            </w:r>
          </w:p>
          <w:p w14:paraId="07B3A18C" w14:textId="5BFC2EDB" w:rsidR="00D80E55" w:rsidRPr="00D80E55" w:rsidRDefault="008F3628" w:rsidP="008F3628">
            <w:pPr>
              <w:pStyle w:val="TableText"/>
            </w:pPr>
            <w:r>
              <w:lastRenderedPageBreak/>
              <w:t>A landscape plan for Category 2 work shall be accompanied by a statement of design intent which reflects how the proposed landscaping meets the relevant objectives and provisions of the applicable LEP’s, DCP’s and the Site Analysis Plan, where appropriate.</w:t>
            </w:r>
          </w:p>
        </w:tc>
        <w:tc>
          <w:tcPr>
            <w:tcW w:w="5103" w:type="dxa"/>
          </w:tcPr>
          <w:p w14:paraId="114925F2" w14:textId="77777777" w:rsidR="00D80E55" w:rsidRDefault="00D80E55" w:rsidP="009A1A64">
            <w:pPr>
              <w:pStyle w:val="TableText"/>
            </w:pPr>
          </w:p>
        </w:tc>
        <w:tc>
          <w:tcPr>
            <w:tcW w:w="4931" w:type="dxa"/>
          </w:tcPr>
          <w:p w14:paraId="34CEAEDB" w14:textId="77777777" w:rsidR="00D80E55" w:rsidRPr="00A34259" w:rsidRDefault="0060276B" w:rsidP="009A1A64">
            <w:pPr>
              <w:pStyle w:val="TableText"/>
              <w:rPr>
                <w:b/>
                <w:bCs/>
              </w:rPr>
            </w:pPr>
            <w:r w:rsidRPr="00A34259">
              <w:rPr>
                <w:b/>
                <w:bCs/>
              </w:rPr>
              <w:t>Complies.</w:t>
            </w:r>
          </w:p>
          <w:p w14:paraId="3E415D3A" w14:textId="1FC4C549" w:rsidR="0060276B" w:rsidRDefault="0060276B" w:rsidP="009A1A64">
            <w:pPr>
              <w:pStyle w:val="TableText"/>
            </w:pPr>
            <w:r>
              <w:t xml:space="preserve">Landscape Plan includes a statement of design intent. </w:t>
            </w:r>
          </w:p>
        </w:tc>
      </w:tr>
      <w:tr w:rsidR="008F3628" w14:paraId="048CABD9" w14:textId="77777777" w:rsidTr="000C2DD2">
        <w:tc>
          <w:tcPr>
            <w:tcW w:w="14570" w:type="dxa"/>
            <w:gridSpan w:val="3"/>
            <w:shd w:val="clear" w:color="auto" w:fill="949496" w:themeFill="accent2" w:themeFillTint="99"/>
          </w:tcPr>
          <w:p w14:paraId="06F1C7DA" w14:textId="026CF7DA" w:rsidR="008F3628" w:rsidRDefault="008F3628" w:rsidP="009A1A64">
            <w:pPr>
              <w:pStyle w:val="TableText"/>
            </w:pPr>
            <w:r>
              <w:rPr>
                <w:b/>
                <w:bCs/>
                <w:sz w:val="23"/>
                <w:szCs w:val="23"/>
              </w:rPr>
              <w:t>2.7 Erosion and Sediment Control</w:t>
            </w:r>
          </w:p>
        </w:tc>
      </w:tr>
      <w:tr w:rsidR="008F3628" w14:paraId="049CC34A" w14:textId="77777777" w:rsidTr="000C2DD2">
        <w:tc>
          <w:tcPr>
            <w:tcW w:w="14570" w:type="dxa"/>
            <w:gridSpan w:val="3"/>
            <w:shd w:val="clear" w:color="auto" w:fill="B7B7B9" w:themeFill="accent2" w:themeFillTint="66"/>
          </w:tcPr>
          <w:p w14:paraId="0F211E86" w14:textId="1FE838ED" w:rsidR="008F3628" w:rsidRDefault="008F3628" w:rsidP="009A1A64">
            <w:pPr>
              <w:pStyle w:val="TableText"/>
            </w:pPr>
            <w:r>
              <w:rPr>
                <w:b/>
                <w:bCs/>
                <w:sz w:val="22"/>
              </w:rPr>
              <w:t>2.7.2 Erosions and Sediment Control Plans</w:t>
            </w:r>
          </w:p>
        </w:tc>
      </w:tr>
      <w:tr w:rsidR="00D80E55" w14:paraId="3FCD4B14" w14:textId="77777777" w:rsidTr="00D62A08">
        <w:tc>
          <w:tcPr>
            <w:tcW w:w="4536" w:type="dxa"/>
          </w:tcPr>
          <w:p w14:paraId="7C19F415" w14:textId="77777777" w:rsidR="008F3628" w:rsidRDefault="008F3628" w:rsidP="008F3628">
            <w:pPr>
              <w:pStyle w:val="TableText"/>
            </w:pPr>
            <w:r>
              <w:t>The Erosion and Sediment Control Plan shall include but not be limited to:</w:t>
            </w:r>
          </w:p>
          <w:p w14:paraId="2E728E44" w14:textId="77777777" w:rsidR="00D80E55" w:rsidRDefault="008F3628" w:rsidP="008F3628">
            <w:pPr>
              <w:pStyle w:val="TableBullet"/>
            </w:pPr>
            <w:r>
              <w:t>a recognised scale, appropriate to the site</w:t>
            </w:r>
          </w:p>
          <w:p w14:paraId="24D1F102" w14:textId="77777777" w:rsidR="008F3628" w:rsidRDefault="008F3628" w:rsidP="008F3628">
            <w:pPr>
              <w:pStyle w:val="TableBullet"/>
            </w:pPr>
            <w:r>
              <w:t>a locality plan showing site boundaries and roads</w:t>
            </w:r>
          </w:p>
          <w:p w14:paraId="2517A508" w14:textId="68A53B81" w:rsidR="008F3628" w:rsidRDefault="008F3628" w:rsidP="008F3628">
            <w:pPr>
              <w:pStyle w:val="TableBullet"/>
            </w:pPr>
            <w:r>
              <w:t>existing vegetation including what is to be retained</w:t>
            </w:r>
          </w:p>
          <w:p w14:paraId="1722EC71" w14:textId="4077028A" w:rsidR="008F3628" w:rsidRDefault="008F3628" w:rsidP="008F3628">
            <w:pPr>
              <w:pStyle w:val="TableBullet"/>
            </w:pPr>
            <w:r>
              <w:t>existing and proposed site drainage, including any dams or artificial wetlands to be used</w:t>
            </w:r>
          </w:p>
          <w:p w14:paraId="31D557EF" w14:textId="33B074DF" w:rsidR="008F3628" w:rsidRDefault="008F3628" w:rsidP="008F3628">
            <w:pPr>
              <w:pStyle w:val="TableBullet"/>
            </w:pPr>
            <w:r>
              <w:t>contours and slope gradient – with particular attention being given to slopes of greater than 10%</w:t>
            </w:r>
          </w:p>
          <w:p w14:paraId="609B3E18" w14:textId="4298C6F7" w:rsidR="008F3628" w:rsidRDefault="008F3628" w:rsidP="008F3628">
            <w:pPr>
              <w:pStyle w:val="TableBullet"/>
            </w:pPr>
            <w:r>
              <w:t>nature and extent of proposed earthworks, including cut and fill</w:t>
            </w:r>
          </w:p>
          <w:p w14:paraId="3EAA097E" w14:textId="18A18975" w:rsidR="008F3628" w:rsidRDefault="008F3628" w:rsidP="008F3628">
            <w:pPr>
              <w:pStyle w:val="TableBullet"/>
            </w:pPr>
            <w:r>
              <w:t>location of roads, driveways, access-ways and all impervious surfaces</w:t>
            </w:r>
          </w:p>
          <w:p w14:paraId="1C3AFA65" w14:textId="52C32DB7" w:rsidR="008F3628" w:rsidRDefault="008F3628" w:rsidP="008F3628">
            <w:pPr>
              <w:pStyle w:val="TableBullet"/>
            </w:pPr>
            <w:r>
              <w:t>location of stockpiles</w:t>
            </w:r>
          </w:p>
          <w:p w14:paraId="1DA4C372" w14:textId="2B1EE7F4" w:rsidR="008F3628" w:rsidRDefault="008F3628" w:rsidP="008F3628">
            <w:pPr>
              <w:pStyle w:val="TableBullet"/>
            </w:pPr>
            <w:r>
              <w:t>erosion control measures</w:t>
            </w:r>
          </w:p>
          <w:p w14:paraId="54EA9C38" w14:textId="3F07999F" w:rsidR="008F3628" w:rsidRDefault="008F3628" w:rsidP="008F3628">
            <w:pPr>
              <w:pStyle w:val="TableBullet"/>
            </w:pPr>
            <w:r>
              <w:t>sediment control measures</w:t>
            </w:r>
          </w:p>
          <w:p w14:paraId="4777E5D6" w14:textId="7A63FE84" w:rsidR="008F3628" w:rsidRDefault="008F3628" w:rsidP="008F3628">
            <w:pPr>
              <w:pStyle w:val="TableBullet"/>
            </w:pPr>
            <w:r>
              <w:t>details of site vegetation</w:t>
            </w:r>
          </w:p>
          <w:p w14:paraId="5DB9263F" w14:textId="64A823C2" w:rsidR="008F3628" w:rsidRDefault="008F3628" w:rsidP="008F3628">
            <w:pPr>
              <w:pStyle w:val="TableBullet"/>
            </w:pPr>
            <w:r>
              <w:t>outline of the maintenance program for erosion and sediment control measures</w:t>
            </w:r>
          </w:p>
          <w:p w14:paraId="22FD211F" w14:textId="572A54E7" w:rsidR="008F3628" w:rsidRDefault="008F3628" w:rsidP="008F3628">
            <w:pPr>
              <w:pStyle w:val="TableBullet"/>
            </w:pPr>
            <w:r>
              <w:lastRenderedPageBreak/>
              <w:t>name of person responsible for implementing the plan</w:t>
            </w:r>
          </w:p>
          <w:p w14:paraId="63EC5AC1" w14:textId="6F0B76EC" w:rsidR="008F3628" w:rsidRDefault="008F3628" w:rsidP="008F3628">
            <w:pPr>
              <w:pStyle w:val="TableBullet"/>
            </w:pPr>
            <w:r>
              <w:t>supporting information may be required to be submitted with the Plan detailing:</w:t>
            </w:r>
          </w:p>
          <w:p w14:paraId="7D629CAA" w14:textId="3FD1EDD0" w:rsidR="008F3628" w:rsidRDefault="008F3628" w:rsidP="008F3628">
            <w:pPr>
              <w:pStyle w:val="TableBullet2"/>
            </w:pPr>
            <w:r>
              <w:t>any areas that may have the potential for serious erosion or sedimentation and the proposed management details</w:t>
            </w:r>
          </w:p>
          <w:p w14:paraId="4B211DF1" w14:textId="4362CAC2" w:rsidR="008F3628" w:rsidRDefault="008F3628" w:rsidP="008F3628">
            <w:pPr>
              <w:pStyle w:val="TableBullet2"/>
            </w:pPr>
            <w:r>
              <w:t>a brief description of the overall site rehabilitation program</w:t>
            </w:r>
          </w:p>
          <w:p w14:paraId="547DD369" w14:textId="2457A3B6" w:rsidR="008F3628" w:rsidRPr="00D80E55" w:rsidRDefault="008F3628" w:rsidP="008F3628">
            <w:pPr>
              <w:pStyle w:val="TableBullet"/>
            </w:pPr>
            <w:r>
              <w:t>a plan showing how much Virgin Excavated Natural Material (VENM) the site will generate and the disposal method for waste VENM.</w:t>
            </w:r>
          </w:p>
        </w:tc>
        <w:tc>
          <w:tcPr>
            <w:tcW w:w="5103" w:type="dxa"/>
          </w:tcPr>
          <w:p w14:paraId="0D698C76" w14:textId="77777777" w:rsidR="00EB63DD" w:rsidRDefault="00EB63DD" w:rsidP="0060276B">
            <w:pPr>
              <w:pStyle w:val="TableText"/>
            </w:pPr>
            <w:r>
              <w:lastRenderedPageBreak/>
              <w:t xml:space="preserve">Accompanied by Sediment and Erosion Control Plan – refer to Civil Engineering drawings. </w:t>
            </w:r>
          </w:p>
          <w:p w14:paraId="7A2443A6" w14:textId="77777777" w:rsidR="00D80E55" w:rsidRDefault="00D80E55" w:rsidP="009A1A64">
            <w:pPr>
              <w:pStyle w:val="TableText"/>
            </w:pPr>
          </w:p>
        </w:tc>
        <w:tc>
          <w:tcPr>
            <w:tcW w:w="4931" w:type="dxa"/>
          </w:tcPr>
          <w:p w14:paraId="5ACAC277" w14:textId="77777777" w:rsidR="00D80E55" w:rsidRPr="00A34259" w:rsidRDefault="00A34259" w:rsidP="009A1A64">
            <w:pPr>
              <w:pStyle w:val="TableText"/>
              <w:rPr>
                <w:b/>
                <w:bCs/>
              </w:rPr>
            </w:pPr>
            <w:r w:rsidRPr="00A34259">
              <w:rPr>
                <w:b/>
                <w:bCs/>
              </w:rPr>
              <w:t>Complies</w:t>
            </w:r>
          </w:p>
          <w:p w14:paraId="5C4435B5" w14:textId="2D7B9237" w:rsidR="00A34259" w:rsidRDefault="00A34259" w:rsidP="009A1A64">
            <w:pPr>
              <w:pStyle w:val="TableText"/>
            </w:pPr>
            <w:r>
              <w:t xml:space="preserve">Erosion and Sediment Control Plan includes all relevant details. </w:t>
            </w:r>
          </w:p>
        </w:tc>
      </w:tr>
      <w:tr w:rsidR="008F3628" w14:paraId="10537EF6" w14:textId="77777777" w:rsidTr="000C2DD2">
        <w:tc>
          <w:tcPr>
            <w:tcW w:w="14570" w:type="dxa"/>
            <w:gridSpan w:val="3"/>
            <w:shd w:val="clear" w:color="auto" w:fill="B7B7B9" w:themeFill="accent2" w:themeFillTint="66"/>
          </w:tcPr>
          <w:p w14:paraId="7D466311" w14:textId="240D97F1" w:rsidR="008F3628" w:rsidRDefault="008F3628" w:rsidP="009A1A64">
            <w:pPr>
              <w:pStyle w:val="TableText"/>
            </w:pPr>
            <w:r>
              <w:rPr>
                <w:b/>
                <w:bCs/>
                <w:sz w:val="22"/>
              </w:rPr>
              <w:t>2.7.3 Soil and Water Management Plans</w:t>
            </w:r>
          </w:p>
        </w:tc>
      </w:tr>
      <w:tr w:rsidR="00D80E55" w14:paraId="4D068B6B" w14:textId="77777777" w:rsidTr="00D62A08">
        <w:tc>
          <w:tcPr>
            <w:tcW w:w="4536" w:type="dxa"/>
          </w:tcPr>
          <w:p w14:paraId="459EE6D6" w14:textId="77777777" w:rsidR="008F3628" w:rsidRDefault="008F3628" w:rsidP="008F3628">
            <w:pPr>
              <w:pStyle w:val="TableText"/>
            </w:pPr>
            <w:r>
              <w:t>Soil and Water Management Plan is to include all the matters required for an Erosion and Sediment Control Plan as well as the following information (as relevant):</w:t>
            </w:r>
          </w:p>
          <w:p w14:paraId="7C0A83D8" w14:textId="11C52A60" w:rsidR="008F3628" w:rsidRDefault="008F3628" w:rsidP="008F3628">
            <w:pPr>
              <w:pStyle w:val="TableBullet"/>
            </w:pPr>
            <w:r>
              <w:t>An assessment of the site constraints as per chapter 3 of the NSW Landcom publication titles Managing Urban Stormwater: Soils and Construction Vol. 1 4th ed. March 2004 (Blue Book)</w:t>
            </w:r>
          </w:p>
          <w:p w14:paraId="3A70E915" w14:textId="5566AAF3" w:rsidR="008F3628" w:rsidRDefault="008F3628" w:rsidP="008F3628">
            <w:pPr>
              <w:pStyle w:val="TableBullet"/>
            </w:pPr>
            <w:r>
              <w:t>location of lots, public open space, stormwater drainage systems, schools, shopping/community centres</w:t>
            </w:r>
          </w:p>
          <w:p w14:paraId="18AAAEF6" w14:textId="7C68B057" w:rsidR="008F3628" w:rsidRDefault="008F3628" w:rsidP="008F3628">
            <w:pPr>
              <w:pStyle w:val="TableBullet"/>
            </w:pPr>
            <w:r>
              <w:t>the location of land designated or zoned for special uses</w:t>
            </w:r>
          </w:p>
          <w:p w14:paraId="6706CF28" w14:textId="1A164091" w:rsidR="008F3628" w:rsidRDefault="008F3628" w:rsidP="008F3628">
            <w:pPr>
              <w:pStyle w:val="TableBullet"/>
            </w:pPr>
            <w:r>
              <w:t>existing site contours</w:t>
            </w:r>
          </w:p>
          <w:p w14:paraId="0B462FCA" w14:textId="3FBFD061" w:rsidR="008F3628" w:rsidRDefault="008F3628" w:rsidP="008F3628">
            <w:pPr>
              <w:pStyle w:val="TableBullet"/>
            </w:pPr>
            <w:r>
              <w:t>the location and general diagrammatic representations of all sediment control measures</w:t>
            </w:r>
          </w:p>
          <w:p w14:paraId="1EA40E55" w14:textId="5C5E14C7" w:rsidR="008F3628" w:rsidRDefault="008F3628" w:rsidP="008F3628">
            <w:pPr>
              <w:pStyle w:val="TableBullet"/>
            </w:pPr>
            <w:r>
              <w:lastRenderedPageBreak/>
              <w:t>location and engineering details with supporting design calculations for all necessary sediment basins</w:t>
            </w:r>
          </w:p>
          <w:p w14:paraId="16C6A454" w14:textId="3568BDC6" w:rsidR="008F3628" w:rsidRDefault="008F3628" w:rsidP="008F3628">
            <w:pPr>
              <w:pStyle w:val="TableBullet"/>
            </w:pPr>
            <w:r>
              <w:t>location and basic details of any other facilities proposed to be included as part of the development or works, such as constructed wetlands, gross pollutant traps, trash racks or trash collection/separator units or water sensitive stormwater treatment measures (such as bio retention systems, vegetated swales and infiltration measures)</w:t>
            </w:r>
          </w:p>
          <w:p w14:paraId="5D9AEF00" w14:textId="0FB86663" w:rsidR="008F3628" w:rsidRDefault="008F3628" w:rsidP="008F3628">
            <w:pPr>
              <w:pStyle w:val="TableBullet"/>
            </w:pPr>
            <w:r>
              <w:t>a plan showing how much Virgin Excavated Natural Material (VENM) the site will generate and the disposal method for waste VENM.</w:t>
            </w:r>
          </w:p>
          <w:p w14:paraId="4A73B5D4" w14:textId="77777777" w:rsidR="00D80E55" w:rsidRDefault="008F3628" w:rsidP="008F3628">
            <w:pPr>
              <w:pStyle w:val="TableText"/>
            </w:pPr>
            <w:r>
              <w:t xml:space="preserve">A self-auditing program should be established for the site in accordance with chapter 8 of the Blue Book. </w:t>
            </w:r>
          </w:p>
          <w:p w14:paraId="796145DD" w14:textId="77777777" w:rsidR="008F3628" w:rsidRDefault="008F3628" w:rsidP="008F3628">
            <w:pPr>
              <w:pStyle w:val="TableText"/>
            </w:pPr>
            <w:r>
              <w:t>The above plans should be prepared in accordance with the NSW Landcom publication titles Managing Urban Stormwater: Soils and Construction Vol. 1 4th ed. March 2004 (Blue Book) and in particular chapter 7 of the Blue Book.</w:t>
            </w:r>
          </w:p>
          <w:p w14:paraId="3BF2B4DC" w14:textId="23C2369C" w:rsidR="008F3628" w:rsidRPr="00D80E55" w:rsidRDefault="008F3628" w:rsidP="008F3628">
            <w:pPr>
              <w:pStyle w:val="TableText"/>
            </w:pPr>
            <w:r>
              <w:t>Note: Where there is an inconsistency between this DCP and the Blue Book, the Blue Book shall prevail.</w:t>
            </w:r>
          </w:p>
        </w:tc>
        <w:tc>
          <w:tcPr>
            <w:tcW w:w="5103" w:type="dxa"/>
          </w:tcPr>
          <w:p w14:paraId="69113A41" w14:textId="77777777" w:rsidR="00D80E55" w:rsidRDefault="00D80E55" w:rsidP="009A1A64">
            <w:pPr>
              <w:pStyle w:val="TableText"/>
            </w:pPr>
          </w:p>
        </w:tc>
        <w:tc>
          <w:tcPr>
            <w:tcW w:w="4931" w:type="dxa"/>
          </w:tcPr>
          <w:p w14:paraId="43BAD3B6" w14:textId="77777777" w:rsidR="00D80E55" w:rsidRPr="00B13B5A" w:rsidRDefault="00C07613" w:rsidP="009A1A64">
            <w:pPr>
              <w:pStyle w:val="TableText"/>
              <w:rPr>
                <w:b/>
                <w:bCs/>
              </w:rPr>
            </w:pPr>
            <w:r w:rsidRPr="00B13B5A">
              <w:rPr>
                <w:b/>
                <w:bCs/>
              </w:rPr>
              <w:t>Complies</w:t>
            </w:r>
          </w:p>
          <w:p w14:paraId="48A10C9F" w14:textId="77777777" w:rsidR="00B13B5A" w:rsidRDefault="00B13B5A" w:rsidP="009A1A64">
            <w:pPr>
              <w:pStyle w:val="TableText"/>
            </w:pPr>
            <w:r>
              <w:t>The Erosion and Sediment Control Plan addresses soil and water management.</w:t>
            </w:r>
          </w:p>
          <w:p w14:paraId="54F4C3C0" w14:textId="21C9A0D7" w:rsidR="00C07613" w:rsidRDefault="00B13B5A" w:rsidP="009A1A64">
            <w:pPr>
              <w:pStyle w:val="TableText"/>
            </w:pPr>
            <w:r>
              <w:t xml:space="preserve">And Upstream Stormwater Diversion Plan is also provided. </w:t>
            </w:r>
            <w:r w:rsidR="00C07613">
              <w:t xml:space="preserve"> </w:t>
            </w:r>
          </w:p>
        </w:tc>
      </w:tr>
      <w:tr w:rsidR="000C2DD2" w14:paraId="2796497E" w14:textId="77777777" w:rsidTr="000C2DD2">
        <w:tc>
          <w:tcPr>
            <w:tcW w:w="14570" w:type="dxa"/>
            <w:gridSpan w:val="3"/>
            <w:shd w:val="clear" w:color="auto" w:fill="B7B7B9" w:themeFill="accent2" w:themeFillTint="66"/>
          </w:tcPr>
          <w:p w14:paraId="0ACAF7EF" w14:textId="723FF14F" w:rsidR="000C2DD2" w:rsidRDefault="000C2DD2" w:rsidP="009A1A64">
            <w:pPr>
              <w:pStyle w:val="TableText"/>
            </w:pPr>
            <w:r>
              <w:rPr>
                <w:b/>
                <w:bCs/>
                <w:sz w:val="22"/>
              </w:rPr>
              <w:t>2.7.3.2 General Requi</w:t>
            </w:r>
            <w:r>
              <w:rPr>
                <w:sz w:val="22"/>
              </w:rPr>
              <w:t>r</w:t>
            </w:r>
            <w:r>
              <w:rPr>
                <w:b/>
                <w:bCs/>
                <w:sz w:val="22"/>
              </w:rPr>
              <w:t>ements</w:t>
            </w:r>
            <w:r w:rsidR="000B6352">
              <w:rPr>
                <w:b/>
                <w:bCs/>
                <w:sz w:val="22"/>
              </w:rPr>
              <w:t xml:space="preserve"> – complies </w:t>
            </w:r>
          </w:p>
        </w:tc>
      </w:tr>
      <w:tr w:rsidR="000C2DD2" w14:paraId="5FF54E2E" w14:textId="77777777" w:rsidTr="00D63C7A">
        <w:tc>
          <w:tcPr>
            <w:tcW w:w="4536" w:type="dxa"/>
            <w:shd w:val="clear" w:color="auto" w:fill="949496" w:themeFill="accent2" w:themeFillTint="99"/>
          </w:tcPr>
          <w:p w14:paraId="516A267B" w14:textId="24EE514C" w:rsidR="000C2DD2" w:rsidRPr="00D80E55" w:rsidRDefault="00D63C7A" w:rsidP="00D63C7A">
            <w:pPr>
              <w:pStyle w:val="TableHeadingGrey"/>
            </w:pPr>
            <w:r>
              <w:t>2.9 Safe Design</w:t>
            </w:r>
          </w:p>
        </w:tc>
        <w:tc>
          <w:tcPr>
            <w:tcW w:w="5103" w:type="dxa"/>
            <w:shd w:val="clear" w:color="auto" w:fill="949496" w:themeFill="accent2" w:themeFillTint="99"/>
          </w:tcPr>
          <w:p w14:paraId="70532595" w14:textId="77777777" w:rsidR="000C2DD2" w:rsidRDefault="000C2DD2" w:rsidP="009A1A64">
            <w:pPr>
              <w:pStyle w:val="TableText"/>
            </w:pPr>
          </w:p>
        </w:tc>
        <w:tc>
          <w:tcPr>
            <w:tcW w:w="4931" w:type="dxa"/>
            <w:shd w:val="clear" w:color="auto" w:fill="949496" w:themeFill="accent2" w:themeFillTint="99"/>
          </w:tcPr>
          <w:p w14:paraId="40D5AA5B" w14:textId="77777777" w:rsidR="000C2DD2" w:rsidRDefault="000C2DD2" w:rsidP="009A1A64">
            <w:pPr>
              <w:pStyle w:val="TableText"/>
            </w:pPr>
          </w:p>
        </w:tc>
      </w:tr>
      <w:tr w:rsidR="00D63C7A" w14:paraId="00F51C97" w14:textId="77777777" w:rsidTr="00D63C7A">
        <w:tc>
          <w:tcPr>
            <w:tcW w:w="14570" w:type="dxa"/>
            <w:gridSpan w:val="3"/>
            <w:shd w:val="clear" w:color="auto" w:fill="B7B7B9" w:themeFill="accent2" w:themeFillTint="66"/>
          </w:tcPr>
          <w:p w14:paraId="57E82C37" w14:textId="5C5AB4FC" w:rsidR="00D63C7A" w:rsidRDefault="00D63C7A" w:rsidP="00D63C7A">
            <w:pPr>
              <w:pStyle w:val="TableHeadingGrey"/>
            </w:pPr>
            <w:r>
              <w:t>2.9.3 Controls</w:t>
            </w:r>
          </w:p>
        </w:tc>
      </w:tr>
      <w:tr w:rsidR="00B2257E" w14:paraId="61E5D363" w14:textId="77777777" w:rsidTr="00D62A08">
        <w:tc>
          <w:tcPr>
            <w:tcW w:w="4536" w:type="dxa"/>
          </w:tcPr>
          <w:p w14:paraId="1FDD3588" w14:textId="6FF3D8D8" w:rsidR="00B2257E" w:rsidRPr="00D63C7A" w:rsidRDefault="00B2257E" w:rsidP="0055522F">
            <w:pPr>
              <w:pStyle w:val="TableAlpha"/>
              <w:numPr>
                <w:ilvl w:val="0"/>
                <w:numId w:val="61"/>
              </w:numPr>
            </w:pPr>
            <w:r>
              <w:t xml:space="preserve">Buildings are to be designed to overlook streets and other public areas to provide casual surveillance. Buildings adjacent to a </w:t>
            </w:r>
            <w:r>
              <w:lastRenderedPageBreak/>
              <w:t>public area must have at least one habitable room window with an outlook to that area.</w:t>
            </w:r>
          </w:p>
        </w:tc>
        <w:tc>
          <w:tcPr>
            <w:tcW w:w="5103" w:type="dxa"/>
            <w:vMerge w:val="restart"/>
          </w:tcPr>
          <w:p w14:paraId="0F46C9D7" w14:textId="77777777" w:rsidR="00B2257E" w:rsidRDefault="00B2257E" w:rsidP="00225F18">
            <w:pPr>
              <w:pStyle w:val="TableText"/>
            </w:pPr>
            <w:r>
              <w:lastRenderedPageBreak/>
              <w:t xml:space="preserve">Referral by Council during DA assessment. CPTED principles considered in design. </w:t>
            </w:r>
          </w:p>
          <w:p w14:paraId="045B63C0" w14:textId="77777777" w:rsidR="00B2257E" w:rsidRDefault="00B2257E">
            <w:pPr>
              <w:pStyle w:val="TableText"/>
            </w:pPr>
          </w:p>
        </w:tc>
        <w:tc>
          <w:tcPr>
            <w:tcW w:w="4931" w:type="dxa"/>
            <w:vMerge w:val="restart"/>
          </w:tcPr>
          <w:p w14:paraId="51E17D5D" w14:textId="77777777" w:rsidR="00B2257E" w:rsidRPr="007C35E4" w:rsidRDefault="00B2257E" w:rsidP="009A1A64">
            <w:pPr>
              <w:pStyle w:val="TableText"/>
              <w:rPr>
                <w:b/>
                <w:bCs/>
              </w:rPr>
            </w:pPr>
            <w:r w:rsidRPr="007C35E4">
              <w:rPr>
                <w:b/>
                <w:bCs/>
              </w:rPr>
              <w:lastRenderedPageBreak/>
              <w:t>Complies.</w:t>
            </w:r>
          </w:p>
          <w:p w14:paraId="46A7AA0B" w14:textId="389CB6CB" w:rsidR="00B2257E" w:rsidRDefault="00B2257E" w:rsidP="009A1A64">
            <w:pPr>
              <w:pStyle w:val="TableText"/>
            </w:pPr>
            <w:r>
              <w:lastRenderedPageBreak/>
              <w:t xml:space="preserve">The proposal demonstrates appropriate provision of landscaping, urban design and external lighting to promote safety and casual surveillance for pedestrians and cyclists. The Crawford Street forecourt and new pedestrian plaza at the rear of the building will be overlooked by building occupants during the day time. </w:t>
            </w:r>
          </w:p>
          <w:p w14:paraId="6F1D6EAC" w14:textId="294EE05D" w:rsidR="00B2257E" w:rsidRDefault="00B2257E" w:rsidP="009A1A64">
            <w:pPr>
              <w:pStyle w:val="TableText"/>
            </w:pPr>
            <w:r>
              <w:t xml:space="preserve">Public and private spaces are clearly defined in terms of urban design, landscaping and physical access control. </w:t>
            </w:r>
          </w:p>
          <w:p w14:paraId="410E6FDA" w14:textId="5E9B923B" w:rsidR="00B2257E" w:rsidRDefault="00B2257E" w:rsidP="009A1A64">
            <w:pPr>
              <w:pStyle w:val="TableText"/>
            </w:pPr>
            <w:r>
              <w:t xml:space="preserve">The proposal has been referred to the NSW Police for CPTED assessment and has been determined to be acceptable with some recommendations for conditions of approval. </w:t>
            </w:r>
          </w:p>
        </w:tc>
      </w:tr>
      <w:tr w:rsidR="00B2257E" w14:paraId="057035CE" w14:textId="77777777" w:rsidTr="00D62A08">
        <w:tc>
          <w:tcPr>
            <w:tcW w:w="4536" w:type="dxa"/>
          </w:tcPr>
          <w:p w14:paraId="26635006" w14:textId="7DCC579D" w:rsidR="00B2257E" w:rsidRDefault="00B2257E" w:rsidP="00D63C7A">
            <w:pPr>
              <w:pStyle w:val="TableAlpha"/>
            </w:pPr>
            <w:r>
              <w:lastRenderedPageBreak/>
              <w:t>Pedestrians and cycle thoroughfares are reinforced as safe routes through:</w:t>
            </w:r>
          </w:p>
          <w:p w14:paraId="4B01C634" w14:textId="26A9BB0D" w:rsidR="00B2257E" w:rsidRDefault="00B2257E" w:rsidP="00D63C7A">
            <w:pPr>
              <w:pStyle w:val="TableAlpha2"/>
            </w:pPr>
            <w:r>
              <w:t>appropriate lighting</w:t>
            </w:r>
          </w:p>
          <w:p w14:paraId="1E1D926F" w14:textId="200037FF" w:rsidR="00B2257E" w:rsidRDefault="00B2257E" w:rsidP="00D63C7A">
            <w:pPr>
              <w:pStyle w:val="TableAlpha2"/>
            </w:pPr>
            <w:r>
              <w:t>casual surveillance from the street</w:t>
            </w:r>
          </w:p>
          <w:p w14:paraId="6F87621F" w14:textId="1CA22747" w:rsidR="00B2257E" w:rsidRDefault="00B2257E" w:rsidP="00D63C7A">
            <w:pPr>
              <w:pStyle w:val="TableAlpha2"/>
            </w:pPr>
            <w:r>
              <w:t>minimised opportunities for concealment</w:t>
            </w:r>
          </w:p>
          <w:p w14:paraId="37CC2923" w14:textId="47BA1772" w:rsidR="00B2257E" w:rsidRDefault="00B2257E" w:rsidP="00D63C7A">
            <w:pPr>
              <w:pStyle w:val="TableAlpha2"/>
            </w:pPr>
            <w:r>
              <w:t>landscaping which allows clear sigh-lines between buildings and the street</w:t>
            </w:r>
          </w:p>
          <w:p w14:paraId="4991242B" w14:textId="7C142D1B" w:rsidR="00B2257E" w:rsidRPr="00D63C7A" w:rsidRDefault="00B2257E" w:rsidP="00D63C7A">
            <w:pPr>
              <w:pStyle w:val="TableAlpha2"/>
            </w:pPr>
            <w:r>
              <w:t>avoidance of blind corners</w:t>
            </w:r>
          </w:p>
        </w:tc>
        <w:tc>
          <w:tcPr>
            <w:tcW w:w="5103" w:type="dxa"/>
            <w:vMerge/>
          </w:tcPr>
          <w:p w14:paraId="60255D36" w14:textId="77777777" w:rsidR="00B2257E" w:rsidRDefault="00B2257E" w:rsidP="009A1A64">
            <w:pPr>
              <w:pStyle w:val="TableText"/>
            </w:pPr>
          </w:p>
        </w:tc>
        <w:tc>
          <w:tcPr>
            <w:tcW w:w="4931" w:type="dxa"/>
            <w:vMerge/>
          </w:tcPr>
          <w:p w14:paraId="1475C76C" w14:textId="77777777" w:rsidR="00B2257E" w:rsidRDefault="00B2257E" w:rsidP="009A1A64">
            <w:pPr>
              <w:pStyle w:val="TableText"/>
            </w:pPr>
          </w:p>
        </w:tc>
      </w:tr>
      <w:tr w:rsidR="00B2257E" w14:paraId="15DC0B09" w14:textId="77777777" w:rsidTr="00D62A08">
        <w:tc>
          <w:tcPr>
            <w:tcW w:w="4536" w:type="dxa"/>
          </w:tcPr>
          <w:p w14:paraId="20E8B623" w14:textId="69D70802" w:rsidR="00B2257E" w:rsidRPr="00D63C7A" w:rsidRDefault="00B2257E" w:rsidP="00D63C7A">
            <w:pPr>
              <w:pStyle w:val="TableAlpha"/>
            </w:pPr>
            <w:r>
              <w:t>Site planning, buildings, fences, landscaping and other features clearly define public, common, semi-private and private space</w:t>
            </w:r>
          </w:p>
        </w:tc>
        <w:tc>
          <w:tcPr>
            <w:tcW w:w="5103" w:type="dxa"/>
            <w:vMerge/>
          </w:tcPr>
          <w:p w14:paraId="1AA02865" w14:textId="77777777" w:rsidR="00B2257E" w:rsidRDefault="00B2257E" w:rsidP="009A1A64">
            <w:pPr>
              <w:pStyle w:val="TableText"/>
            </w:pPr>
          </w:p>
        </w:tc>
        <w:tc>
          <w:tcPr>
            <w:tcW w:w="4931" w:type="dxa"/>
            <w:vMerge/>
          </w:tcPr>
          <w:p w14:paraId="0D3A6FB4" w14:textId="77777777" w:rsidR="00B2257E" w:rsidRDefault="00B2257E" w:rsidP="009A1A64">
            <w:pPr>
              <w:pStyle w:val="TableText"/>
            </w:pPr>
          </w:p>
        </w:tc>
      </w:tr>
      <w:tr w:rsidR="004854F4" w14:paraId="36115229" w14:textId="77777777" w:rsidTr="008F7E65">
        <w:tc>
          <w:tcPr>
            <w:tcW w:w="14570" w:type="dxa"/>
            <w:gridSpan w:val="3"/>
            <w:shd w:val="clear" w:color="auto" w:fill="949496" w:themeFill="accent2" w:themeFillTint="99"/>
          </w:tcPr>
          <w:p w14:paraId="079D3BF1" w14:textId="627E931C" w:rsidR="004854F4" w:rsidRDefault="004854F4" w:rsidP="009A1A64">
            <w:pPr>
              <w:pStyle w:val="TableText"/>
            </w:pPr>
            <w:r>
              <w:rPr>
                <w:b/>
                <w:bCs/>
                <w:sz w:val="23"/>
                <w:szCs w:val="23"/>
              </w:rPr>
              <w:t>2.11 Airspace Operations and Airport Noise</w:t>
            </w:r>
          </w:p>
        </w:tc>
      </w:tr>
      <w:tr w:rsidR="004854F4" w14:paraId="336E0E5F" w14:textId="77777777" w:rsidTr="008F7E65">
        <w:tc>
          <w:tcPr>
            <w:tcW w:w="14570" w:type="dxa"/>
            <w:gridSpan w:val="3"/>
            <w:shd w:val="clear" w:color="auto" w:fill="B7B7B9" w:themeFill="accent2" w:themeFillTint="66"/>
          </w:tcPr>
          <w:p w14:paraId="28C89E4F" w14:textId="16B97EFD" w:rsidR="004854F4" w:rsidRDefault="004854F4" w:rsidP="009A1A64">
            <w:pPr>
              <w:pStyle w:val="TableText"/>
            </w:pPr>
            <w:r>
              <w:rPr>
                <w:b/>
                <w:bCs/>
                <w:sz w:val="22"/>
              </w:rPr>
              <w:t>2.11.3 Airspace Operations</w:t>
            </w:r>
          </w:p>
        </w:tc>
      </w:tr>
      <w:tr w:rsidR="00D81537" w14:paraId="50CCCFE3" w14:textId="77777777" w:rsidTr="00D62A08">
        <w:tc>
          <w:tcPr>
            <w:tcW w:w="4536" w:type="dxa"/>
          </w:tcPr>
          <w:p w14:paraId="1C0A8825" w14:textId="4C587519" w:rsidR="00D81537" w:rsidRPr="00D80E55" w:rsidRDefault="00D81537" w:rsidP="0055522F">
            <w:pPr>
              <w:pStyle w:val="TableAlpha"/>
              <w:numPr>
                <w:ilvl w:val="0"/>
                <w:numId w:val="62"/>
              </w:numPr>
            </w:pPr>
            <w:r w:rsidRPr="004854F4">
              <w:t>Development shall comply with clause 7.6 of the Queanbeyan Local Environmental Plan 2012 – Airspace Operations</w:t>
            </w:r>
          </w:p>
        </w:tc>
        <w:tc>
          <w:tcPr>
            <w:tcW w:w="5103" w:type="dxa"/>
            <w:vMerge w:val="restart"/>
          </w:tcPr>
          <w:p w14:paraId="5B15AE1C" w14:textId="0D74280B" w:rsidR="00D81537" w:rsidRDefault="00D81537" w:rsidP="009A1A64">
            <w:pPr>
              <w:pStyle w:val="TableText"/>
            </w:pPr>
            <w:r>
              <w:t>The proposed development will not impact on the ongoing operation of Canberra Airport</w:t>
            </w:r>
          </w:p>
        </w:tc>
        <w:tc>
          <w:tcPr>
            <w:tcW w:w="4931" w:type="dxa"/>
            <w:vMerge w:val="restart"/>
          </w:tcPr>
          <w:p w14:paraId="70276E25" w14:textId="77777777" w:rsidR="00B13B5A" w:rsidRPr="00B13B5A" w:rsidRDefault="00B13B5A" w:rsidP="00B13B5A">
            <w:pPr>
              <w:pStyle w:val="TableText"/>
              <w:rPr>
                <w:b/>
                <w:bCs/>
              </w:rPr>
            </w:pPr>
            <w:r w:rsidRPr="00B13B5A">
              <w:rPr>
                <w:b/>
                <w:bCs/>
              </w:rPr>
              <w:t>Complies</w:t>
            </w:r>
          </w:p>
          <w:p w14:paraId="69C54AA0" w14:textId="2017FA1B" w:rsidR="00B2257E" w:rsidRDefault="00B2257E" w:rsidP="009A1A64">
            <w:pPr>
              <w:pStyle w:val="TableText"/>
            </w:pPr>
          </w:p>
        </w:tc>
      </w:tr>
      <w:tr w:rsidR="00D81537" w14:paraId="24920B10" w14:textId="77777777" w:rsidTr="00D62A08">
        <w:tc>
          <w:tcPr>
            <w:tcW w:w="4536" w:type="dxa"/>
          </w:tcPr>
          <w:p w14:paraId="4C6E5406" w14:textId="2ECDB992" w:rsidR="00D81537" w:rsidRPr="00D80E55" w:rsidRDefault="00D81537" w:rsidP="000761A6">
            <w:pPr>
              <w:pStyle w:val="TableAlpha"/>
            </w:pPr>
            <w:r w:rsidRPr="004854F4">
              <w:t>Any structure, whether temporary or permanent, proposed to breach the obstacle limitation surface must be referred to the Canberra Airport and relevant authorities for assessment.</w:t>
            </w:r>
          </w:p>
        </w:tc>
        <w:tc>
          <w:tcPr>
            <w:tcW w:w="5103" w:type="dxa"/>
            <w:vMerge/>
          </w:tcPr>
          <w:p w14:paraId="3F9A3C4D" w14:textId="77777777" w:rsidR="00D81537" w:rsidRDefault="00D81537" w:rsidP="009A1A64">
            <w:pPr>
              <w:pStyle w:val="TableText"/>
            </w:pPr>
          </w:p>
        </w:tc>
        <w:tc>
          <w:tcPr>
            <w:tcW w:w="4931" w:type="dxa"/>
            <w:vMerge/>
          </w:tcPr>
          <w:p w14:paraId="1B0832D0" w14:textId="77777777" w:rsidR="00D81537" w:rsidRDefault="00D81537" w:rsidP="009A1A64">
            <w:pPr>
              <w:pStyle w:val="TableText"/>
            </w:pPr>
          </w:p>
        </w:tc>
      </w:tr>
      <w:tr w:rsidR="004854F4" w14:paraId="77A88E5A" w14:textId="77777777" w:rsidTr="008F7E65">
        <w:tc>
          <w:tcPr>
            <w:tcW w:w="14570" w:type="dxa"/>
            <w:gridSpan w:val="3"/>
            <w:shd w:val="clear" w:color="auto" w:fill="B7B7B9" w:themeFill="accent2" w:themeFillTint="66"/>
          </w:tcPr>
          <w:p w14:paraId="7916B848" w14:textId="02B17E2A" w:rsidR="004854F4" w:rsidRDefault="004854F4" w:rsidP="009A1A64">
            <w:pPr>
              <w:pStyle w:val="TableText"/>
            </w:pPr>
            <w:r>
              <w:rPr>
                <w:b/>
                <w:bCs/>
                <w:sz w:val="22"/>
              </w:rPr>
              <w:t>2.11.4 Airport Noise</w:t>
            </w:r>
          </w:p>
        </w:tc>
      </w:tr>
      <w:tr w:rsidR="000C2DD2" w14:paraId="1DECCB65" w14:textId="77777777" w:rsidTr="00D62A08">
        <w:tc>
          <w:tcPr>
            <w:tcW w:w="4536" w:type="dxa"/>
          </w:tcPr>
          <w:p w14:paraId="4859AA2D" w14:textId="39F50D72" w:rsidR="000C2DD2" w:rsidRPr="00D80E55" w:rsidRDefault="004854F4" w:rsidP="0055522F">
            <w:pPr>
              <w:pStyle w:val="TableAlpha"/>
              <w:numPr>
                <w:ilvl w:val="0"/>
                <w:numId w:val="63"/>
              </w:numPr>
            </w:pPr>
            <w:r w:rsidRPr="004854F4">
              <w:t>All development must comply with clause 7.7 of the Queanbeyan Local Environmental Plan 2012 – Development in areas subject to aircraft noise.</w:t>
            </w:r>
          </w:p>
        </w:tc>
        <w:tc>
          <w:tcPr>
            <w:tcW w:w="5103" w:type="dxa"/>
          </w:tcPr>
          <w:p w14:paraId="0E527D5D" w14:textId="77777777" w:rsidR="000C2DD2" w:rsidRDefault="009A13D8" w:rsidP="009A1A64">
            <w:pPr>
              <w:pStyle w:val="TableText"/>
            </w:pPr>
            <w:r>
              <w:t>The proposed glazing fa</w:t>
            </w:r>
            <w:r>
              <w:rPr>
                <w:rFonts w:cstheme="minorHAnsi"/>
              </w:rPr>
              <w:t>ç</w:t>
            </w:r>
            <w:r>
              <w:t>ade configuration comprises of ≥6 mm float glass | ≥12 mm air gap | ≥6 mm float glass, and is expected to meet the nominated sound insulation performance specs for Category: Open Office Space.</w:t>
            </w:r>
          </w:p>
          <w:p w14:paraId="32E25C5C" w14:textId="3205A970" w:rsidR="009A13D8" w:rsidRDefault="009A13D8" w:rsidP="009A1A64">
            <w:pPr>
              <w:pStyle w:val="TableText"/>
            </w:pPr>
            <w:r>
              <w:lastRenderedPageBreak/>
              <w:t>For full Noise Assessment see Appendix L.</w:t>
            </w:r>
          </w:p>
        </w:tc>
        <w:tc>
          <w:tcPr>
            <w:tcW w:w="4931" w:type="dxa"/>
          </w:tcPr>
          <w:p w14:paraId="6D95B55C" w14:textId="77777777" w:rsidR="00B13B5A" w:rsidRPr="00B13B5A" w:rsidRDefault="00B13B5A" w:rsidP="00B13B5A">
            <w:pPr>
              <w:pStyle w:val="TableText"/>
              <w:rPr>
                <w:b/>
                <w:bCs/>
              </w:rPr>
            </w:pPr>
            <w:r w:rsidRPr="00B13B5A">
              <w:rPr>
                <w:b/>
                <w:bCs/>
              </w:rPr>
              <w:lastRenderedPageBreak/>
              <w:t>Complies</w:t>
            </w:r>
          </w:p>
          <w:p w14:paraId="30FE115C" w14:textId="33B97A4D" w:rsidR="000C2DD2" w:rsidRDefault="000C2DD2" w:rsidP="009A1A64">
            <w:pPr>
              <w:pStyle w:val="TableText"/>
            </w:pPr>
          </w:p>
        </w:tc>
      </w:tr>
      <w:tr w:rsidR="000761A6" w14:paraId="2DD6F36C" w14:textId="77777777" w:rsidTr="008F7E65">
        <w:tc>
          <w:tcPr>
            <w:tcW w:w="14570" w:type="dxa"/>
            <w:gridSpan w:val="3"/>
            <w:shd w:val="clear" w:color="auto" w:fill="949496" w:themeFill="accent2" w:themeFillTint="99"/>
          </w:tcPr>
          <w:p w14:paraId="770C4C45" w14:textId="253AEE2D" w:rsidR="000761A6" w:rsidRDefault="000761A6" w:rsidP="009A1A64">
            <w:pPr>
              <w:pStyle w:val="TableText"/>
            </w:pPr>
            <w:r>
              <w:rPr>
                <w:b/>
                <w:bCs/>
                <w:sz w:val="23"/>
                <w:szCs w:val="23"/>
              </w:rPr>
              <w:t>2.12 Tree and Vegetation Management</w:t>
            </w:r>
            <w:r w:rsidR="00581406">
              <w:rPr>
                <w:b/>
                <w:bCs/>
                <w:sz w:val="23"/>
                <w:szCs w:val="23"/>
              </w:rPr>
              <w:t xml:space="preserve"> – </w:t>
            </w:r>
          </w:p>
        </w:tc>
      </w:tr>
      <w:tr w:rsidR="00B13B5A" w14:paraId="32588711" w14:textId="77777777" w:rsidTr="00B13B5A">
        <w:tc>
          <w:tcPr>
            <w:tcW w:w="14570" w:type="dxa"/>
            <w:gridSpan w:val="3"/>
            <w:shd w:val="clear" w:color="auto" w:fill="BFBFBF" w:themeFill="background1" w:themeFillShade="BF"/>
          </w:tcPr>
          <w:p w14:paraId="68E19D32" w14:textId="6655593F" w:rsidR="00B13B5A" w:rsidRPr="00B13B5A" w:rsidRDefault="00B13B5A" w:rsidP="009A1A64">
            <w:pPr>
              <w:pStyle w:val="TableText"/>
              <w:rPr>
                <w:b/>
                <w:bCs/>
              </w:rPr>
            </w:pPr>
            <w:r w:rsidRPr="00B13B5A">
              <w:rPr>
                <w:b/>
                <w:bCs/>
              </w:rPr>
              <w:t>2.12.6 Controls – Land Zoned Residential (R1 to R4 and RU5), Business (B1 to B8), Industrial (IN1 to IN3), Special Use (SP1 to SP3) and RE1 Public Recreation)</w:t>
            </w:r>
          </w:p>
        </w:tc>
      </w:tr>
      <w:tr w:rsidR="00B13B5A" w14:paraId="7B5818D9" w14:textId="77777777" w:rsidTr="00D62A08">
        <w:tc>
          <w:tcPr>
            <w:tcW w:w="4536" w:type="dxa"/>
          </w:tcPr>
          <w:p w14:paraId="41A42315" w14:textId="000B5DB1" w:rsidR="00B13B5A" w:rsidRPr="00225F18" w:rsidRDefault="00B13B5A" w:rsidP="000B6352">
            <w:pPr>
              <w:pStyle w:val="TableText"/>
            </w:pPr>
          </w:p>
        </w:tc>
        <w:tc>
          <w:tcPr>
            <w:tcW w:w="5103" w:type="dxa"/>
          </w:tcPr>
          <w:p w14:paraId="50E2A78E" w14:textId="74BDD0A8" w:rsidR="00B13B5A" w:rsidRPr="000761A6" w:rsidRDefault="000B6352" w:rsidP="009A1A64">
            <w:pPr>
              <w:pStyle w:val="TableText"/>
              <w:rPr>
                <w:highlight w:val="yellow"/>
              </w:rPr>
            </w:pPr>
            <w:r>
              <w:rPr>
                <w:b/>
                <w:bCs/>
                <w:sz w:val="23"/>
                <w:szCs w:val="23"/>
              </w:rPr>
              <w:t>M</w:t>
            </w:r>
            <w:r w:rsidR="00581406">
              <w:rPr>
                <w:b/>
                <w:bCs/>
                <w:sz w:val="23"/>
                <w:szCs w:val="23"/>
              </w:rPr>
              <w:t>anagement via Landscaping Plan</w:t>
            </w:r>
          </w:p>
        </w:tc>
        <w:tc>
          <w:tcPr>
            <w:tcW w:w="4931" w:type="dxa"/>
          </w:tcPr>
          <w:p w14:paraId="2242E501" w14:textId="1998136D" w:rsidR="00B13B5A" w:rsidRPr="0021205B" w:rsidRDefault="00581406" w:rsidP="009A1A64">
            <w:pPr>
              <w:pStyle w:val="TableText"/>
              <w:rPr>
                <w:b/>
                <w:bCs/>
              </w:rPr>
            </w:pPr>
            <w:r>
              <w:rPr>
                <w:b/>
                <w:bCs/>
              </w:rPr>
              <w:t xml:space="preserve">Compliance through consent </w:t>
            </w:r>
          </w:p>
        </w:tc>
      </w:tr>
      <w:tr w:rsidR="00A626BD" w14:paraId="50806719" w14:textId="77777777" w:rsidTr="00A626BD">
        <w:tc>
          <w:tcPr>
            <w:tcW w:w="14570" w:type="dxa"/>
            <w:gridSpan w:val="3"/>
            <w:shd w:val="clear" w:color="auto" w:fill="949496" w:themeFill="accent2" w:themeFillTint="99"/>
          </w:tcPr>
          <w:p w14:paraId="1856AEE6" w14:textId="5FD30BED" w:rsidR="00A626BD" w:rsidRDefault="00A626BD" w:rsidP="00A626BD">
            <w:pPr>
              <w:pStyle w:val="TableHeadingGrey"/>
            </w:pPr>
            <w:r w:rsidRPr="00F91135">
              <w:t>Part 4 – Heritage and Conservation</w:t>
            </w:r>
          </w:p>
        </w:tc>
      </w:tr>
      <w:tr w:rsidR="00F35FE2" w14:paraId="717AF330" w14:textId="77777777" w:rsidTr="00F35FE2">
        <w:tc>
          <w:tcPr>
            <w:tcW w:w="4536" w:type="dxa"/>
            <w:tcBorders>
              <w:bottom w:val="single" w:sz="4" w:space="0" w:color="4E4E50" w:themeColor="accent2"/>
            </w:tcBorders>
            <w:shd w:val="clear" w:color="auto" w:fill="B7B7B9" w:themeFill="accent2" w:themeFillTint="66"/>
          </w:tcPr>
          <w:p w14:paraId="7ADABD21" w14:textId="4C5AD004" w:rsidR="00F35FE2" w:rsidRPr="00F35FE2" w:rsidRDefault="00F35FE2" w:rsidP="008F7E65">
            <w:pPr>
              <w:pStyle w:val="TableText"/>
              <w:rPr>
                <w:b/>
                <w:bCs/>
              </w:rPr>
            </w:pPr>
            <w:r w:rsidRPr="00F35FE2">
              <w:rPr>
                <w:b/>
                <w:bCs/>
              </w:rPr>
              <w:t xml:space="preserve">4.4.13 Signage Panels  </w:t>
            </w:r>
          </w:p>
        </w:tc>
        <w:tc>
          <w:tcPr>
            <w:tcW w:w="5103" w:type="dxa"/>
            <w:tcBorders>
              <w:bottom w:val="single" w:sz="4" w:space="0" w:color="4E4E50" w:themeColor="accent2"/>
            </w:tcBorders>
            <w:shd w:val="clear" w:color="auto" w:fill="B7B7B9" w:themeFill="accent2" w:themeFillTint="66"/>
          </w:tcPr>
          <w:p w14:paraId="3496A36F" w14:textId="77777777" w:rsidR="00F35FE2" w:rsidRDefault="00F35FE2" w:rsidP="009A1A64">
            <w:pPr>
              <w:pStyle w:val="TableText"/>
            </w:pPr>
          </w:p>
        </w:tc>
        <w:tc>
          <w:tcPr>
            <w:tcW w:w="4931" w:type="dxa"/>
            <w:tcBorders>
              <w:bottom w:val="single" w:sz="4" w:space="0" w:color="4E4E50" w:themeColor="accent2"/>
            </w:tcBorders>
            <w:shd w:val="clear" w:color="auto" w:fill="B7B7B9" w:themeFill="accent2" w:themeFillTint="66"/>
          </w:tcPr>
          <w:p w14:paraId="1208AA53" w14:textId="77777777" w:rsidR="00F35FE2" w:rsidRDefault="00F35FE2" w:rsidP="009A1A64">
            <w:pPr>
              <w:pStyle w:val="TableText"/>
            </w:pPr>
          </w:p>
        </w:tc>
      </w:tr>
      <w:tr w:rsidR="00F35FE2" w14:paraId="4A0289CC" w14:textId="77777777" w:rsidTr="00F35FE2">
        <w:tc>
          <w:tcPr>
            <w:tcW w:w="4536" w:type="dxa"/>
            <w:shd w:val="clear" w:color="auto" w:fill="FFFFFF" w:themeFill="background1"/>
          </w:tcPr>
          <w:p w14:paraId="39AA530D" w14:textId="0081BD42" w:rsidR="00F35FE2" w:rsidRPr="00F35FE2" w:rsidRDefault="00F35FE2" w:rsidP="008F7E65">
            <w:pPr>
              <w:pStyle w:val="TableText"/>
            </w:pPr>
            <w:r w:rsidRPr="00F35FE2">
              <w:t xml:space="preserve">a) Corporate colours should not be applied to the whole of the building’s exterior, and where approved by Council, will be confined to the </w:t>
            </w:r>
            <w:r w:rsidRPr="00F35FE2">
              <w:lastRenderedPageBreak/>
              <w:t>non-significant parts of the façade.  Corporate signs and colours that do not harmonise with the building’s historic character shall be controlled for size and set within a border stripe to separate the sign from the building’s body colour</w:t>
            </w:r>
          </w:p>
        </w:tc>
        <w:tc>
          <w:tcPr>
            <w:tcW w:w="5103" w:type="dxa"/>
            <w:shd w:val="clear" w:color="auto" w:fill="FFFFFF" w:themeFill="background1"/>
          </w:tcPr>
          <w:p w14:paraId="5640F715" w14:textId="77777777" w:rsidR="00F35FE2" w:rsidRDefault="00F35FE2" w:rsidP="009A1A64">
            <w:pPr>
              <w:pStyle w:val="TableText"/>
            </w:pPr>
          </w:p>
        </w:tc>
        <w:tc>
          <w:tcPr>
            <w:tcW w:w="4931" w:type="dxa"/>
            <w:shd w:val="clear" w:color="auto" w:fill="FFFFFF" w:themeFill="background1"/>
          </w:tcPr>
          <w:p w14:paraId="026DCAEC" w14:textId="77777777" w:rsidR="00F35FE2" w:rsidRPr="00AB4F21" w:rsidRDefault="00AB4F21" w:rsidP="009A1A64">
            <w:pPr>
              <w:pStyle w:val="TableText"/>
              <w:rPr>
                <w:b/>
                <w:bCs/>
              </w:rPr>
            </w:pPr>
            <w:r w:rsidRPr="00AB4F21">
              <w:rPr>
                <w:b/>
                <w:bCs/>
              </w:rPr>
              <w:t>Complies.</w:t>
            </w:r>
          </w:p>
          <w:p w14:paraId="1553C6E9" w14:textId="45D31770" w:rsidR="00AB4F21" w:rsidRDefault="00AB4F21" w:rsidP="009A1A64">
            <w:pPr>
              <w:pStyle w:val="TableText"/>
            </w:pPr>
            <w:r>
              <w:lastRenderedPageBreak/>
              <w:t>Council logo signage is proposed, facing into the forecourt and within the above building overhang. The proposed signage location is not considered to have an negative impact on heritage character of surrounding buildings or the Crawford Street streetscape.</w:t>
            </w:r>
          </w:p>
        </w:tc>
      </w:tr>
      <w:tr w:rsidR="00F35FE2" w14:paraId="24FD4C56" w14:textId="77777777" w:rsidTr="00F35FE2">
        <w:tc>
          <w:tcPr>
            <w:tcW w:w="4536" w:type="dxa"/>
            <w:shd w:val="clear" w:color="auto" w:fill="FFFFFF" w:themeFill="background1"/>
          </w:tcPr>
          <w:p w14:paraId="40AF1891" w14:textId="45D904F4" w:rsidR="00F35FE2" w:rsidRPr="00F35FE2" w:rsidRDefault="00F35FE2" w:rsidP="008F7E65">
            <w:pPr>
              <w:pStyle w:val="TableText"/>
            </w:pPr>
            <w:r w:rsidRPr="00F35FE2">
              <w:lastRenderedPageBreak/>
              <w:t>b) Commercial signage, whether painted directly onto the building or to panels that are fixed to the building, needs to be designed in size and proportion to fit with the building’s architectural styling.  Most commercial buildings include areas on the awning and parapet that are suitable for signage.  Signage beyond those areas may not meet the objectives of these guidelines</w:t>
            </w:r>
          </w:p>
        </w:tc>
        <w:tc>
          <w:tcPr>
            <w:tcW w:w="5103" w:type="dxa"/>
            <w:shd w:val="clear" w:color="auto" w:fill="FFFFFF" w:themeFill="background1"/>
          </w:tcPr>
          <w:p w14:paraId="184E579B" w14:textId="77777777" w:rsidR="00F35FE2" w:rsidRDefault="00F35FE2" w:rsidP="009A1A64">
            <w:pPr>
              <w:pStyle w:val="TableText"/>
            </w:pPr>
          </w:p>
        </w:tc>
        <w:tc>
          <w:tcPr>
            <w:tcW w:w="4931" w:type="dxa"/>
            <w:shd w:val="clear" w:color="auto" w:fill="FFFFFF" w:themeFill="background1"/>
          </w:tcPr>
          <w:p w14:paraId="08157A05" w14:textId="6626E3C2" w:rsidR="00AB4F21" w:rsidRPr="00AB4F21" w:rsidRDefault="00AB4F21" w:rsidP="00AB4F21">
            <w:pPr>
              <w:pStyle w:val="TableText"/>
              <w:rPr>
                <w:b/>
                <w:bCs/>
              </w:rPr>
            </w:pPr>
            <w:r>
              <w:rPr>
                <w:b/>
                <w:bCs/>
              </w:rPr>
              <w:t>Complies.</w:t>
            </w:r>
          </w:p>
          <w:p w14:paraId="3C1B5BBC" w14:textId="77777777" w:rsidR="00AB4F21" w:rsidRDefault="00AB4F21" w:rsidP="00AB4F21">
            <w:pPr>
              <w:pStyle w:val="TableText"/>
            </w:pPr>
            <w:r>
              <w:t xml:space="preserve">Commercial signage is proposed for parts of the windows of commercial tenancies at the rear of the building, facing the public plaza. </w:t>
            </w:r>
          </w:p>
          <w:p w14:paraId="1083A27D" w14:textId="3973BE70" w:rsidR="00AB4F21" w:rsidRDefault="00AB4F21" w:rsidP="00AB4F21">
            <w:pPr>
              <w:pStyle w:val="TableText"/>
            </w:pPr>
            <w:r>
              <w:t xml:space="preserve">This location, size and semi-transparent nature of signage is considered appropriate. </w:t>
            </w:r>
          </w:p>
        </w:tc>
      </w:tr>
      <w:tr w:rsidR="00F35FE2" w14:paraId="638BFF7F" w14:textId="77777777" w:rsidTr="00F35FE2">
        <w:tc>
          <w:tcPr>
            <w:tcW w:w="4536" w:type="dxa"/>
            <w:shd w:val="clear" w:color="auto" w:fill="FFFFFF" w:themeFill="background1"/>
          </w:tcPr>
          <w:p w14:paraId="324A4997" w14:textId="67EB91B4" w:rsidR="00F35FE2" w:rsidRPr="00F35FE2" w:rsidRDefault="00F35FE2" w:rsidP="008F7E65">
            <w:pPr>
              <w:pStyle w:val="TableText"/>
            </w:pPr>
            <w:r w:rsidRPr="00F35FE2">
              <w:t>d) Signage panels, brackets, lettering and the like that are attached to a building should be fixed in a manner that can be reversed without scarring or damaging significant building fabric.  For example, anchors in a face brick wall should be inserted into the mortar joint rather the brick.</w:t>
            </w:r>
          </w:p>
        </w:tc>
        <w:tc>
          <w:tcPr>
            <w:tcW w:w="5103" w:type="dxa"/>
            <w:shd w:val="clear" w:color="auto" w:fill="FFFFFF" w:themeFill="background1"/>
          </w:tcPr>
          <w:p w14:paraId="66F5F0B5" w14:textId="77777777" w:rsidR="00F35FE2" w:rsidRDefault="00F35FE2" w:rsidP="009A1A64">
            <w:pPr>
              <w:pStyle w:val="TableText"/>
            </w:pPr>
          </w:p>
        </w:tc>
        <w:tc>
          <w:tcPr>
            <w:tcW w:w="4931" w:type="dxa"/>
            <w:shd w:val="clear" w:color="auto" w:fill="FFFFFF" w:themeFill="background1"/>
          </w:tcPr>
          <w:p w14:paraId="04203B34" w14:textId="399BA044" w:rsidR="00F35FE2" w:rsidRDefault="00581406" w:rsidP="00731211">
            <w:pPr>
              <w:pStyle w:val="TableText"/>
            </w:pPr>
            <w:r>
              <w:rPr>
                <w:b/>
                <w:bCs/>
              </w:rPr>
              <w:t xml:space="preserve">Noted </w:t>
            </w:r>
          </w:p>
        </w:tc>
      </w:tr>
      <w:tr w:rsidR="00F35FE2" w14:paraId="6B14BFFC" w14:textId="77777777" w:rsidTr="00F35FE2">
        <w:tc>
          <w:tcPr>
            <w:tcW w:w="4536" w:type="dxa"/>
            <w:shd w:val="clear" w:color="auto" w:fill="FFFFFF" w:themeFill="background1"/>
          </w:tcPr>
          <w:p w14:paraId="20DD81E4" w14:textId="3AC6FD55" w:rsidR="00F35FE2" w:rsidRPr="00F35FE2" w:rsidRDefault="00F35FE2" w:rsidP="008F7E65">
            <w:pPr>
              <w:pStyle w:val="TableText"/>
            </w:pPr>
            <w:r w:rsidRPr="00F35FE2">
              <w:t>e) Where fixing of signage etc will compromise fabric or the overall appearance of the structure, the signage etc should be attached to a free-standing frame rather than the building itself.</w:t>
            </w:r>
          </w:p>
        </w:tc>
        <w:tc>
          <w:tcPr>
            <w:tcW w:w="5103" w:type="dxa"/>
            <w:shd w:val="clear" w:color="auto" w:fill="FFFFFF" w:themeFill="background1"/>
          </w:tcPr>
          <w:p w14:paraId="6CCCBC20" w14:textId="77777777" w:rsidR="00F35FE2" w:rsidRPr="00F35FE2" w:rsidRDefault="00F35FE2" w:rsidP="009A1A64">
            <w:pPr>
              <w:pStyle w:val="TableText"/>
            </w:pPr>
          </w:p>
        </w:tc>
        <w:tc>
          <w:tcPr>
            <w:tcW w:w="4931" w:type="dxa"/>
            <w:shd w:val="clear" w:color="auto" w:fill="FFFFFF" w:themeFill="background1"/>
          </w:tcPr>
          <w:p w14:paraId="055A0F97" w14:textId="07A36518" w:rsidR="00F35FE2" w:rsidRDefault="00581406" w:rsidP="00731211">
            <w:pPr>
              <w:pStyle w:val="TableText"/>
            </w:pPr>
            <w:r>
              <w:rPr>
                <w:b/>
                <w:bCs/>
              </w:rPr>
              <w:t xml:space="preserve">Noted </w:t>
            </w:r>
          </w:p>
        </w:tc>
      </w:tr>
      <w:tr w:rsidR="00F35FE2" w14:paraId="1E45F010" w14:textId="77777777" w:rsidTr="00F35FE2">
        <w:tc>
          <w:tcPr>
            <w:tcW w:w="4536" w:type="dxa"/>
            <w:shd w:val="clear" w:color="auto" w:fill="FFFFFF" w:themeFill="background1"/>
          </w:tcPr>
          <w:p w14:paraId="6C0BCC14" w14:textId="1149EF44" w:rsidR="00F35FE2" w:rsidRPr="00F35FE2" w:rsidRDefault="00F35FE2" w:rsidP="008F7E65">
            <w:pPr>
              <w:pStyle w:val="TableText"/>
            </w:pPr>
            <w:r w:rsidRPr="00F35FE2">
              <w:lastRenderedPageBreak/>
              <w:t xml:space="preserve">f) Signage will also need to comply with State Environment Planning Policy No 64 - Advertising and Signage (SEPP 64). </w:t>
            </w:r>
          </w:p>
        </w:tc>
        <w:tc>
          <w:tcPr>
            <w:tcW w:w="5103" w:type="dxa"/>
            <w:shd w:val="clear" w:color="auto" w:fill="FFFFFF" w:themeFill="background1"/>
          </w:tcPr>
          <w:p w14:paraId="1BA10D9C" w14:textId="77777777" w:rsidR="00F35FE2" w:rsidRPr="00F35FE2" w:rsidRDefault="00F35FE2" w:rsidP="009A1A64">
            <w:pPr>
              <w:pStyle w:val="TableText"/>
            </w:pPr>
          </w:p>
        </w:tc>
        <w:tc>
          <w:tcPr>
            <w:tcW w:w="4931" w:type="dxa"/>
            <w:shd w:val="clear" w:color="auto" w:fill="FFFFFF" w:themeFill="background1"/>
          </w:tcPr>
          <w:p w14:paraId="4D642A57" w14:textId="77777777" w:rsidR="00F35FE2" w:rsidRPr="00AB4F21" w:rsidRDefault="00731211" w:rsidP="009A1A64">
            <w:pPr>
              <w:pStyle w:val="TableText"/>
              <w:rPr>
                <w:b/>
                <w:bCs/>
              </w:rPr>
            </w:pPr>
            <w:r w:rsidRPr="00AB4F21">
              <w:rPr>
                <w:b/>
                <w:bCs/>
              </w:rPr>
              <w:t>Complies.</w:t>
            </w:r>
          </w:p>
          <w:p w14:paraId="0C93D458" w14:textId="43612B50" w:rsidR="00731211" w:rsidRDefault="00731211" w:rsidP="009A1A64">
            <w:pPr>
              <w:pStyle w:val="TableText"/>
            </w:pPr>
            <w:r>
              <w:t xml:space="preserve">A separate assessment against SEPP 64 was provided. </w:t>
            </w:r>
          </w:p>
        </w:tc>
      </w:tr>
      <w:tr w:rsidR="00F35FE2" w14:paraId="1B2305EB" w14:textId="77777777" w:rsidTr="00F35FE2">
        <w:tc>
          <w:tcPr>
            <w:tcW w:w="4536" w:type="dxa"/>
            <w:tcBorders>
              <w:bottom w:val="single" w:sz="4" w:space="0" w:color="4E4E50" w:themeColor="accent2"/>
            </w:tcBorders>
            <w:shd w:val="clear" w:color="auto" w:fill="FFFFFF" w:themeFill="background1"/>
          </w:tcPr>
          <w:p w14:paraId="4905E034" w14:textId="0F655489" w:rsidR="00F35FE2" w:rsidRPr="00F35FE2" w:rsidRDefault="00F35FE2" w:rsidP="008F7E65">
            <w:pPr>
              <w:pStyle w:val="TableText"/>
            </w:pPr>
            <w:r w:rsidRPr="00F35FE2">
              <w:t>g) Signage is not to cover/obscure architectural detailing or elements.</w:t>
            </w:r>
          </w:p>
        </w:tc>
        <w:tc>
          <w:tcPr>
            <w:tcW w:w="5103" w:type="dxa"/>
            <w:tcBorders>
              <w:bottom w:val="single" w:sz="4" w:space="0" w:color="4E4E50" w:themeColor="accent2"/>
            </w:tcBorders>
            <w:shd w:val="clear" w:color="auto" w:fill="FFFFFF" w:themeFill="background1"/>
          </w:tcPr>
          <w:p w14:paraId="0176FFCA" w14:textId="77777777" w:rsidR="00F35FE2" w:rsidRPr="00F35FE2" w:rsidRDefault="00F35FE2" w:rsidP="009A1A64">
            <w:pPr>
              <w:pStyle w:val="TableText"/>
            </w:pPr>
          </w:p>
        </w:tc>
        <w:tc>
          <w:tcPr>
            <w:tcW w:w="4931" w:type="dxa"/>
            <w:tcBorders>
              <w:bottom w:val="single" w:sz="4" w:space="0" w:color="4E4E50" w:themeColor="accent2"/>
            </w:tcBorders>
            <w:shd w:val="clear" w:color="auto" w:fill="FFFFFF" w:themeFill="background1"/>
          </w:tcPr>
          <w:p w14:paraId="78B54F74" w14:textId="77777777" w:rsidR="00F35FE2" w:rsidRPr="00AB4F21" w:rsidRDefault="00AB4F21" w:rsidP="009A1A64">
            <w:pPr>
              <w:pStyle w:val="TableText"/>
              <w:rPr>
                <w:b/>
                <w:bCs/>
              </w:rPr>
            </w:pPr>
            <w:r w:rsidRPr="00AB4F21">
              <w:rPr>
                <w:b/>
                <w:bCs/>
              </w:rPr>
              <w:t>Complies.</w:t>
            </w:r>
          </w:p>
          <w:p w14:paraId="4D3F9424" w14:textId="04106442" w:rsidR="00AB4F21" w:rsidRDefault="00AB4F21" w:rsidP="009A1A64">
            <w:pPr>
              <w:pStyle w:val="TableText"/>
            </w:pPr>
            <w:r>
              <w:t xml:space="preserve">Signage is integrated into awnings and building elements. </w:t>
            </w:r>
          </w:p>
        </w:tc>
      </w:tr>
      <w:tr w:rsidR="00AB3FA7" w14:paraId="475C1C71" w14:textId="77777777" w:rsidTr="00AB3FA7">
        <w:tc>
          <w:tcPr>
            <w:tcW w:w="14570" w:type="dxa"/>
            <w:gridSpan w:val="3"/>
            <w:tcBorders>
              <w:bottom w:val="single" w:sz="4" w:space="0" w:color="4E4E50" w:themeColor="accent2"/>
            </w:tcBorders>
            <w:shd w:val="clear" w:color="auto" w:fill="949496" w:themeFill="accent2" w:themeFillTint="99"/>
          </w:tcPr>
          <w:p w14:paraId="7B56ADF2" w14:textId="4EA86902" w:rsidR="00AB3FA7" w:rsidRDefault="00AB3FA7" w:rsidP="009A1A64">
            <w:pPr>
              <w:pStyle w:val="TableText"/>
            </w:pPr>
            <w:r w:rsidRPr="00AB3FA7">
              <w:rPr>
                <w:b/>
                <w:bCs/>
              </w:rPr>
              <w:t>4.5 Alterations and Additions to Heritage Items and to All Places in the Heritage Conservation Area and the vicinity</w:t>
            </w:r>
          </w:p>
        </w:tc>
      </w:tr>
      <w:tr w:rsidR="00F35FE2" w14:paraId="51173F04" w14:textId="77777777" w:rsidTr="00AB3FA7">
        <w:tc>
          <w:tcPr>
            <w:tcW w:w="4536" w:type="dxa"/>
            <w:shd w:val="clear" w:color="auto" w:fill="B7B7B9" w:themeFill="accent2" w:themeFillTint="66"/>
          </w:tcPr>
          <w:p w14:paraId="3FF03446" w14:textId="004FDA47" w:rsidR="00F35FE2" w:rsidRPr="00AB3FA7" w:rsidRDefault="00AB3FA7" w:rsidP="008F7E65">
            <w:pPr>
              <w:pStyle w:val="TableText"/>
              <w:rPr>
                <w:b/>
                <w:bCs/>
              </w:rPr>
            </w:pPr>
            <w:r>
              <w:rPr>
                <w:b/>
                <w:bCs/>
              </w:rPr>
              <w:t>4.5.1 Character</w:t>
            </w:r>
          </w:p>
        </w:tc>
        <w:tc>
          <w:tcPr>
            <w:tcW w:w="5103" w:type="dxa"/>
            <w:shd w:val="clear" w:color="auto" w:fill="B7B7B9" w:themeFill="accent2" w:themeFillTint="66"/>
          </w:tcPr>
          <w:p w14:paraId="7D12465B" w14:textId="77777777" w:rsidR="00F35FE2" w:rsidRPr="00F35FE2" w:rsidRDefault="00F35FE2" w:rsidP="009A1A64">
            <w:pPr>
              <w:pStyle w:val="TableText"/>
            </w:pPr>
          </w:p>
        </w:tc>
        <w:tc>
          <w:tcPr>
            <w:tcW w:w="4931" w:type="dxa"/>
            <w:shd w:val="clear" w:color="auto" w:fill="B7B7B9" w:themeFill="accent2" w:themeFillTint="66"/>
          </w:tcPr>
          <w:p w14:paraId="41220499" w14:textId="77777777" w:rsidR="00F35FE2" w:rsidRDefault="00F35FE2" w:rsidP="009A1A64">
            <w:pPr>
              <w:pStyle w:val="TableText"/>
            </w:pPr>
          </w:p>
        </w:tc>
      </w:tr>
      <w:tr w:rsidR="00F35FE2" w14:paraId="411ECD93" w14:textId="77777777" w:rsidTr="00F35FE2">
        <w:tc>
          <w:tcPr>
            <w:tcW w:w="4536" w:type="dxa"/>
            <w:shd w:val="clear" w:color="auto" w:fill="FFFFFF" w:themeFill="background1"/>
          </w:tcPr>
          <w:p w14:paraId="2EDCA795" w14:textId="1B8AA709" w:rsidR="00F35FE2" w:rsidRPr="00AB3FA7" w:rsidRDefault="00AB3FA7" w:rsidP="008F7E65">
            <w:pPr>
              <w:pStyle w:val="TableText"/>
            </w:pPr>
            <w:r w:rsidRPr="00AB3FA7">
              <w:t xml:space="preserve">a) Alterations and additions shall have a style and character similar to the existing.  This shall include materials, proportions and details.  </w:t>
            </w:r>
          </w:p>
        </w:tc>
        <w:tc>
          <w:tcPr>
            <w:tcW w:w="5103" w:type="dxa"/>
            <w:shd w:val="clear" w:color="auto" w:fill="FFFFFF" w:themeFill="background1"/>
          </w:tcPr>
          <w:p w14:paraId="6215D37F" w14:textId="77777777" w:rsidR="00F35FE2" w:rsidRDefault="00F35FE2" w:rsidP="009A1A64">
            <w:pPr>
              <w:pStyle w:val="TableText"/>
            </w:pPr>
          </w:p>
        </w:tc>
        <w:tc>
          <w:tcPr>
            <w:tcW w:w="4931" w:type="dxa"/>
            <w:shd w:val="clear" w:color="auto" w:fill="FFFFFF" w:themeFill="background1"/>
          </w:tcPr>
          <w:p w14:paraId="7ABF23DE" w14:textId="77777777" w:rsidR="00F35FE2" w:rsidRPr="00051387" w:rsidRDefault="00B37E44" w:rsidP="009A1A64">
            <w:pPr>
              <w:pStyle w:val="TableText"/>
              <w:rPr>
                <w:b/>
                <w:bCs/>
              </w:rPr>
            </w:pPr>
            <w:r w:rsidRPr="00051387">
              <w:rPr>
                <w:b/>
                <w:bCs/>
              </w:rPr>
              <w:t xml:space="preserve">Complies. </w:t>
            </w:r>
          </w:p>
          <w:p w14:paraId="5A6161D9" w14:textId="3577D7DE" w:rsidR="00B37E44" w:rsidRDefault="00B37E44" w:rsidP="009A1A64">
            <w:pPr>
              <w:pStyle w:val="TableText"/>
            </w:pPr>
            <w:r>
              <w:t xml:space="preserve">The proposal does not propose any proposal or additions to heritage items. It does propose works in the immediate vicinity of the </w:t>
            </w:r>
            <w:r w:rsidR="00051387">
              <w:t xml:space="preserve">two heritage items. </w:t>
            </w:r>
          </w:p>
          <w:p w14:paraId="2EA07F2F" w14:textId="77777777" w:rsidR="00B37E44" w:rsidRDefault="00B37E44" w:rsidP="009A1A64">
            <w:pPr>
              <w:pStyle w:val="TableText"/>
            </w:pPr>
            <w:r>
              <w:t xml:space="preserve">Ground floor materials include red brick to reference the surrounding heritage items.  </w:t>
            </w:r>
          </w:p>
          <w:p w14:paraId="7A5F9D34" w14:textId="399F28B8" w:rsidR="00051387" w:rsidRDefault="00051387" w:rsidP="009A1A64">
            <w:pPr>
              <w:pStyle w:val="TableText"/>
            </w:pPr>
            <w:r>
              <w:t xml:space="preserve">The proposal includes a Statement of Heritage Impact </w:t>
            </w:r>
            <w:r w:rsidR="002D5799">
              <w:t>which was generally accepted by the Heritage Committee.</w:t>
            </w:r>
          </w:p>
        </w:tc>
      </w:tr>
      <w:tr w:rsidR="00F35FE2" w14:paraId="1D55FFB7" w14:textId="77777777" w:rsidTr="00F35FE2">
        <w:tc>
          <w:tcPr>
            <w:tcW w:w="4536" w:type="dxa"/>
            <w:shd w:val="clear" w:color="auto" w:fill="FFFFFF" w:themeFill="background1"/>
          </w:tcPr>
          <w:p w14:paraId="402BED44" w14:textId="22E8000B" w:rsidR="00F35FE2" w:rsidRPr="00AB3FA7" w:rsidRDefault="00AB3FA7" w:rsidP="008F7E65">
            <w:pPr>
              <w:pStyle w:val="TableText"/>
            </w:pPr>
            <w:r w:rsidRPr="00AB3FA7">
              <w:t xml:space="preserve">b) Aspects of work that are not consistent with prevailing character should be confined to parts of the building that are not significant or will not have an impact on the appearance of the place when viewed from the public realm.   </w:t>
            </w:r>
          </w:p>
        </w:tc>
        <w:tc>
          <w:tcPr>
            <w:tcW w:w="5103" w:type="dxa"/>
            <w:shd w:val="clear" w:color="auto" w:fill="FFFFFF" w:themeFill="background1"/>
          </w:tcPr>
          <w:p w14:paraId="703A123C" w14:textId="77777777" w:rsidR="00F35FE2" w:rsidRDefault="00F35FE2" w:rsidP="009A1A64">
            <w:pPr>
              <w:pStyle w:val="TableText"/>
            </w:pPr>
          </w:p>
        </w:tc>
        <w:tc>
          <w:tcPr>
            <w:tcW w:w="4931" w:type="dxa"/>
            <w:shd w:val="clear" w:color="auto" w:fill="FFFFFF" w:themeFill="background1"/>
          </w:tcPr>
          <w:p w14:paraId="69D8A2AC" w14:textId="77777777" w:rsidR="00F35FE2" w:rsidRPr="002D5799" w:rsidRDefault="007F1352" w:rsidP="009A1A64">
            <w:pPr>
              <w:pStyle w:val="TableText"/>
              <w:rPr>
                <w:b/>
                <w:bCs/>
              </w:rPr>
            </w:pPr>
            <w:r w:rsidRPr="002D5799">
              <w:rPr>
                <w:b/>
                <w:bCs/>
              </w:rPr>
              <w:t xml:space="preserve">Complies. </w:t>
            </w:r>
          </w:p>
          <w:p w14:paraId="7EDA720B" w14:textId="2D5E286C" w:rsidR="007F1352" w:rsidRDefault="002D5799" w:rsidP="009A1A64">
            <w:pPr>
              <w:pStyle w:val="TableText"/>
            </w:pPr>
            <w:r>
              <w:t>The proposal includes a Statement of Heritage Impact which was generally accepted by the Heritage Committee.</w:t>
            </w:r>
          </w:p>
        </w:tc>
      </w:tr>
      <w:tr w:rsidR="00F35FE2" w14:paraId="0F1E439C" w14:textId="77777777" w:rsidTr="00F35FE2">
        <w:tc>
          <w:tcPr>
            <w:tcW w:w="4536" w:type="dxa"/>
            <w:shd w:val="clear" w:color="auto" w:fill="FFFFFF" w:themeFill="background1"/>
          </w:tcPr>
          <w:p w14:paraId="6D0F485B" w14:textId="46113B75" w:rsidR="00F35FE2" w:rsidRPr="00AB3FA7" w:rsidRDefault="00AB3FA7" w:rsidP="008F7E65">
            <w:pPr>
              <w:pStyle w:val="TableText"/>
            </w:pPr>
            <w:r w:rsidRPr="00AB3FA7">
              <w:t>c) Building additions that have a different character from the existing shall be done as a separate “pavilion” that may be “linked” or sensitively connected to the significant structure.</w:t>
            </w:r>
          </w:p>
        </w:tc>
        <w:tc>
          <w:tcPr>
            <w:tcW w:w="5103" w:type="dxa"/>
            <w:shd w:val="clear" w:color="auto" w:fill="FFFFFF" w:themeFill="background1"/>
          </w:tcPr>
          <w:p w14:paraId="7E57C02B" w14:textId="77777777" w:rsidR="00F35FE2" w:rsidRDefault="00F35FE2" w:rsidP="009A1A64">
            <w:pPr>
              <w:pStyle w:val="TableText"/>
            </w:pPr>
          </w:p>
        </w:tc>
        <w:tc>
          <w:tcPr>
            <w:tcW w:w="4931" w:type="dxa"/>
            <w:shd w:val="clear" w:color="auto" w:fill="FFFFFF" w:themeFill="background1"/>
          </w:tcPr>
          <w:p w14:paraId="50A9702E" w14:textId="77777777" w:rsidR="00F35FE2" w:rsidRDefault="00522BFA" w:rsidP="00522BFA">
            <w:pPr>
              <w:pStyle w:val="TableText"/>
              <w:rPr>
                <w:b/>
                <w:bCs/>
              </w:rPr>
            </w:pPr>
            <w:r>
              <w:rPr>
                <w:b/>
                <w:bCs/>
              </w:rPr>
              <w:t>Complies.</w:t>
            </w:r>
          </w:p>
          <w:p w14:paraId="3A81E473" w14:textId="1C23565E" w:rsidR="00522BFA" w:rsidRDefault="00522BFA" w:rsidP="00522BFA">
            <w:pPr>
              <w:pStyle w:val="TableText"/>
            </w:pPr>
            <w:r>
              <w:t>The proposed office building is lin</w:t>
            </w:r>
            <w:r w:rsidR="005D7544">
              <w:t>k</w:t>
            </w:r>
            <w:r>
              <w:t xml:space="preserve">ed via a mezzanine pavilion </w:t>
            </w:r>
            <w:r w:rsidR="007F1352">
              <w:t xml:space="preserve">which connects to the Bicentennial Hal. </w:t>
            </w:r>
          </w:p>
          <w:p w14:paraId="07742E3B" w14:textId="2425F3BC" w:rsidR="002D5799" w:rsidRPr="00522BFA" w:rsidRDefault="002D5799" w:rsidP="00522BFA">
            <w:pPr>
              <w:pStyle w:val="TableText"/>
            </w:pPr>
            <w:r>
              <w:t>The proposal includes a Statement of Heritage Impact which was generally accepted by the Heritage Committee.</w:t>
            </w:r>
          </w:p>
        </w:tc>
      </w:tr>
      <w:tr w:rsidR="00F35FE2" w14:paraId="412D787E" w14:textId="77777777" w:rsidTr="00F35FE2">
        <w:tc>
          <w:tcPr>
            <w:tcW w:w="4536" w:type="dxa"/>
            <w:shd w:val="clear" w:color="auto" w:fill="FFFFFF" w:themeFill="background1"/>
          </w:tcPr>
          <w:p w14:paraId="7C635533" w14:textId="4FD11D31" w:rsidR="00F35FE2" w:rsidRPr="00AB3FA7" w:rsidRDefault="00AB3FA7" w:rsidP="008F7E65">
            <w:pPr>
              <w:pStyle w:val="TableText"/>
            </w:pPr>
            <w:r w:rsidRPr="00AB3FA7">
              <w:lastRenderedPageBreak/>
              <w:t>d) Verandah’s on the primary face of the building or visible from the public domain shall not be enclosed.</w:t>
            </w:r>
          </w:p>
        </w:tc>
        <w:tc>
          <w:tcPr>
            <w:tcW w:w="5103" w:type="dxa"/>
            <w:shd w:val="clear" w:color="auto" w:fill="FFFFFF" w:themeFill="background1"/>
          </w:tcPr>
          <w:p w14:paraId="09C89159" w14:textId="77777777" w:rsidR="00F35FE2" w:rsidRDefault="00F35FE2" w:rsidP="009A1A64">
            <w:pPr>
              <w:pStyle w:val="TableText"/>
            </w:pPr>
          </w:p>
        </w:tc>
        <w:tc>
          <w:tcPr>
            <w:tcW w:w="4931" w:type="dxa"/>
            <w:shd w:val="clear" w:color="auto" w:fill="FFFFFF" w:themeFill="background1"/>
          </w:tcPr>
          <w:p w14:paraId="35D82D81" w14:textId="77777777" w:rsidR="002D5799" w:rsidRPr="002D5799" w:rsidRDefault="002D5799" w:rsidP="002D5799">
            <w:pPr>
              <w:pStyle w:val="TableText"/>
              <w:rPr>
                <w:b/>
                <w:bCs/>
              </w:rPr>
            </w:pPr>
            <w:r w:rsidRPr="002D5799">
              <w:rPr>
                <w:b/>
                <w:bCs/>
              </w:rPr>
              <w:t xml:space="preserve">Complies. </w:t>
            </w:r>
          </w:p>
          <w:p w14:paraId="6E7CB4B5" w14:textId="41568CA6" w:rsidR="00F35FE2" w:rsidRDefault="002D5799" w:rsidP="002D5799">
            <w:pPr>
              <w:pStyle w:val="TableText"/>
            </w:pPr>
            <w:r>
              <w:t>The proposal includes a Statement of Heritage Impact which was generally accepted by the Heritage Committee.</w:t>
            </w:r>
          </w:p>
        </w:tc>
      </w:tr>
      <w:tr w:rsidR="00F35FE2" w14:paraId="12FC12C9" w14:textId="77777777" w:rsidTr="00F35FE2">
        <w:tc>
          <w:tcPr>
            <w:tcW w:w="4536" w:type="dxa"/>
            <w:shd w:val="clear" w:color="auto" w:fill="FFFFFF" w:themeFill="background1"/>
          </w:tcPr>
          <w:p w14:paraId="282C85BE" w14:textId="5648C2AA" w:rsidR="00F35FE2" w:rsidRPr="00AB3FA7" w:rsidRDefault="00F35FE2" w:rsidP="008F7E65">
            <w:pPr>
              <w:pStyle w:val="TableText"/>
            </w:pPr>
          </w:p>
        </w:tc>
        <w:tc>
          <w:tcPr>
            <w:tcW w:w="5103" w:type="dxa"/>
            <w:shd w:val="clear" w:color="auto" w:fill="FFFFFF" w:themeFill="background1"/>
          </w:tcPr>
          <w:p w14:paraId="4F139CBE" w14:textId="77777777" w:rsidR="00F35FE2" w:rsidRDefault="00F35FE2" w:rsidP="009A1A64">
            <w:pPr>
              <w:pStyle w:val="TableText"/>
            </w:pPr>
          </w:p>
        </w:tc>
        <w:tc>
          <w:tcPr>
            <w:tcW w:w="4931" w:type="dxa"/>
            <w:shd w:val="clear" w:color="auto" w:fill="FFFFFF" w:themeFill="background1"/>
          </w:tcPr>
          <w:p w14:paraId="3E71133E" w14:textId="5D9C6E2A" w:rsidR="00522BFA" w:rsidRDefault="00522BFA" w:rsidP="009A1A64">
            <w:pPr>
              <w:pStyle w:val="TableText"/>
            </w:pPr>
          </w:p>
        </w:tc>
      </w:tr>
      <w:tr w:rsidR="00F35FE2" w14:paraId="4AB18E4B" w14:textId="77777777" w:rsidTr="00AB3FA7">
        <w:tc>
          <w:tcPr>
            <w:tcW w:w="4536" w:type="dxa"/>
            <w:tcBorders>
              <w:bottom w:val="single" w:sz="4" w:space="0" w:color="4E4E50" w:themeColor="accent2"/>
            </w:tcBorders>
            <w:shd w:val="clear" w:color="auto" w:fill="FFFFFF" w:themeFill="background1"/>
          </w:tcPr>
          <w:p w14:paraId="6AFF4A27" w14:textId="052D6B1E" w:rsidR="00F35FE2" w:rsidRPr="00AB3FA7" w:rsidRDefault="00AB3FA7" w:rsidP="008F7E65">
            <w:pPr>
              <w:pStyle w:val="TableText"/>
            </w:pPr>
            <w:r w:rsidRPr="00AB3FA7">
              <w:t>f) Distinctive elements that contribute to a place’s character shall be retained.</w:t>
            </w:r>
          </w:p>
        </w:tc>
        <w:tc>
          <w:tcPr>
            <w:tcW w:w="5103" w:type="dxa"/>
            <w:tcBorders>
              <w:bottom w:val="single" w:sz="4" w:space="0" w:color="4E4E50" w:themeColor="accent2"/>
            </w:tcBorders>
            <w:shd w:val="clear" w:color="auto" w:fill="FFFFFF" w:themeFill="background1"/>
          </w:tcPr>
          <w:p w14:paraId="5ECCA5D7" w14:textId="77777777" w:rsidR="00F35FE2" w:rsidRDefault="00F35FE2" w:rsidP="009A1A64">
            <w:pPr>
              <w:pStyle w:val="TableText"/>
            </w:pPr>
          </w:p>
        </w:tc>
        <w:tc>
          <w:tcPr>
            <w:tcW w:w="4931" w:type="dxa"/>
            <w:tcBorders>
              <w:bottom w:val="single" w:sz="4" w:space="0" w:color="4E4E50" w:themeColor="accent2"/>
            </w:tcBorders>
            <w:shd w:val="clear" w:color="auto" w:fill="FFFFFF" w:themeFill="background1"/>
          </w:tcPr>
          <w:p w14:paraId="1844C91E" w14:textId="77777777" w:rsidR="00F35FE2" w:rsidRPr="001A3B2A" w:rsidRDefault="001A3B2A" w:rsidP="009A1A64">
            <w:pPr>
              <w:pStyle w:val="TableText"/>
              <w:rPr>
                <w:b/>
                <w:bCs/>
              </w:rPr>
            </w:pPr>
            <w:r w:rsidRPr="001A3B2A">
              <w:rPr>
                <w:b/>
                <w:bCs/>
              </w:rPr>
              <w:t>Complies.</w:t>
            </w:r>
          </w:p>
          <w:p w14:paraId="7DEB666E" w14:textId="77777777" w:rsidR="00522BFA" w:rsidRDefault="00522BFA" w:rsidP="009A1A64">
            <w:pPr>
              <w:pStyle w:val="TableText"/>
            </w:pPr>
            <w:r>
              <w:t xml:space="preserve">The intent and treatment of the proposed forecourt to setback the proposed building and include softer urban design works is considered an appropriate measure to reduce visual dominance and street level. </w:t>
            </w:r>
          </w:p>
          <w:p w14:paraId="6C0303B1" w14:textId="44C93552" w:rsidR="001A3B2A" w:rsidRDefault="00522BFA" w:rsidP="009A1A64">
            <w:pPr>
              <w:pStyle w:val="TableText"/>
            </w:pPr>
            <w:r>
              <w:t xml:space="preserve">Materials and finishes seek to integrate heritage architectural features. </w:t>
            </w:r>
          </w:p>
        </w:tc>
      </w:tr>
      <w:tr w:rsidR="00F35FE2" w14:paraId="2E2EC899" w14:textId="77777777" w:rsidTr="00AB3FA7">
        <w:tc>
          <w:tcPr>
            <w:tcW w:w="4536" w:type="dxa"/>
            <w:shd w:val="clear" w:color="auto" w:fill="B7B7B9" w:themeFill="accent2" w:themeFillTint="66"/>
          </w:tcPr>
          <w:p w14:paraId="58CA041B" w14:textId="1E9F08DD" w:rsidR="00F35FE2" w:rsidRPr="00F35FE2" w:rsidRDefault="00AB3FA7" w:rsidP="008F7E65">
            <w:pPr>
              <w:pStyle w:val="TableText"/>
              <w:rPr>
                <w:b/>
                <w:bCs/>
              </w:rPr>
            </w:pPr>
            <w:r>
              <w:rPr>
                <w:b/>
                <w:bCs/>
              </w:rPr>
              <w:t>4.5.2 Siting and Orientation</w:t>
            </w:r>
          </w:p>
        </w:tc>
        <w:tc>
          <w:tcPr>
            <w:tcW w:w="5103" w:type="dxa"/>
            <w:shd w:val="clear" w:color="auto" w:fill="B7B7B9" w:themeFill="accent2" w:themeFillTint="66"/>
          </w:tcPr>
          <w:p w14:paraId="590C736C" w14:textId="77777777" w:rsidR="00F35FE2" w:rsidRDefault="00F35FE2" w:rsidP="009A1A64">
            <w:pPr>
              <w:pStyle w:val="TableText"/>
            </w:pPr>
          </w:p>
        </w:tc>
        <w:tc>
          <w:tcPr>
            <w:tcW w:w="4931" w:type="dxa"/>
            <w:shd w:val="clear" w:color="auto" w:fill="B7B7B9" w:themeFill="accent2" w:themeFillTint="66"/>
          </w:tcPr>
          <w:p w14:paraId="4DB4DA7D" w14:textId="77777777" w:rsidR="00F35FE2" w:rsidRDefault="00F35FE2" w:rsidP="009A1A64">
            <w:pPr>
              <w:pStyle w:val="TableText"/>
            </w:pPr>
          </w:p>
        </w:tc>
      </w:tr>
      <w:tr w:rsidR="00F35FE2" w14:paraId="3A5D6E46" w14:textId="77777777" w:rsidTr="00F35FE2">
        <w:tc>
          <w:tcPr>
            <w:tcW w:w="4536" w:type="dxa"/>
            <w:shd w:val="clear" w:color="auto" w:fill="FFFFFF" w:themeFill="background1"/>
          </w:tcPr>
          <w:p w14:paraId="25FEDE97" w14:textId="51294B55" w:rsidR="00F35FE2" w:rsidRPr="00AB3FA7" w:rsidRDefault="00AB3FA7" w:rsidP="008F7E65">
            <w:pPr>
              <w:pStyle w:val="TableText"/>
            </w:pPr>
            <w:r w:rsidRPr="00AB3FA7">
              <w:t>a) Additions and alterations should be sited and orientated in a manner that is consistent with the original.  For most historic structures in Queanbeyan this will mean additions and new structures should be aligned orthogonally (ie using straight lines and right angles rather than oblique angles and curves).</w:t>
            </w:r>
          </w:p>
        </w:tc>
        <w:tc>
          <w:tcPr>
            <w:tcW w:w="5103" w:type="dxa"/>
            <w:shd w:val="clear" w:color="auto" w:fill="FFFFFF" w:themeFill="background1"/>
          </w:tcPr>
          <w:p w14:paraId="3DAE1F92" w14:textId="77777777" w:rsidR="00F35FE2" w:rsidRDefault="00F35FE2" w:rsidP="009A1A64">
            <w:pPr>
              <w:pStyle w:val="TableText"/>
            </w:pPr>
          </w:p>
        </w:tc>
        <w:tc>
          <w:tcPr>
            <w:tcW w:w="4931" w:type="dxa"/>
            <w:shd w:val="clear" w:color="auto" w:fill="FFFFFF" w:themeFill="background1"/>
          </w:tcPr>
          <w:p w14:paraId="305E8D87" w14:textId="77777777" w:rsidR="002D5799" w:rsidRPr="002D5799" w:rsidRDefault="002D5799" w:rsidP="002D5799">
            <w:pPr>
              <w:pStyle w:val="TableText"/>
              <w:rPr>
                <w:b/>
                <w:bCs/>
              </w:rPr>
            </w:pPr>
            <w:r w:rsidRPr="002D5799">
              <w:rPr>
                <w:b/>
                <w:bCs/>
              </w:rPr>
              <w:t xml:space="preserve">Complies. </w:t>
            </w:r>
          </w:p>
          <w:p w14:paraId="2183190E" w14:textId="2A3EB518" w:rsidR="005D579F" w:rsidRDefault="005D579F" w:rsidP="002D5799">
            <w:pPr>
              <w:pStyle w:val="TableText"/>
            </w:pPr>
            <w:r>
              <w:t xml:space="preserve">The building footprint has and streetscape impacts have been designed to replicate the finer grain subdivision pattern of Crawford Street. The building appears as two different buildings when viewed from Crawford Street. </w:t>
            </w:r>
          </w:p>
          <w:p w14:paraId="5BFE0046" w14:textId="255DFB6C" w:rsidR="00F35FE2" w:rsidRDefault="002D5799" w:rsidP="002D5799">
            <w:pPr>
              <w:pStyle w:val="TableText"/>
            </w:pPr>
            <w:r>
              <w:t>The proposal includes a Statement of Heritage Impact which was generally accepted by the Heritage Committee.</w:t>
            </w:r>
          </w:p>
        </w:tc>
      </w:tr>
      <w:tr w:rsidR="00F35FE2" w14:paraId="24D30076" w14:textId="77777777" w:rsidTr="00AB3FA7">
        <w:tc>
          <w:tcPr>
            <w:tcW w:w="4536" w:type="dxa"/>
            <w:tcBorders>
              <w:bottom w:val="single" w:sz="4" w:space="0" w:color="4E4E50" w:themeColor="accent2"/>
            </w:tcBorders>
            <w:shd w:val="clear" w:color="auto" w:fill="FFFFFF" w:themeFill="background1"/>
          </w:tcPr>
          <w:p w14:paraId="4AA79750" w14:textId="5EACFB13" w:rsidR="00F35FE2" w:rsidRPr="00AB3FA7" w:rsidRDefault="00AB3FA7" w:rsidP="008F7E65">
            <w:pPr>
              <w:pStyle w:val="TableText"/>
            </w:pPr>
            <w:r w:rsidRPr="00AB3FA7">
              <w:t xml:space="preserve">b) Extensions should not be made to the front of heritage items.  </w:t>
            </w:r>
          </w:p>
        </w:tc>
        <w:tc>
          <w:tcPr>
            <w:tcW w:w="5103" w:type="dxa"/>
            <w:tcBorders>
              <w:bottom w:val="single" w:sz="4" w:space="0" w:color="4E4E50" w:themeColor="accent2"/>
            </w:tcBorders>
            <w:shd w:val="clear" w:color="auto" w:fill="FFFFFF" w:themeFill="background1"/>
          </w:tcPr>
          <w:p w14:paraId="1A64A82A" w14:textId="77777777" w:rsidR="00F35FE2" w:rsidRDefault="00F35FE2" w:rsidP="009A1A64">
            <w:pPr>
              <w:pStyle w:val="TableText"/>
            </w:pPr>
          </w:p>
        </w:tc>
        <w:tc>
          <w:tcPr>
            <w:tcW w:w="4931" w:type="dxa"/>
            <w:tcBorders>
              <w:bottom w:val="single" w:sz="4" w:space="0" w:color="4E4E50" w:themeColor="accent2"/>
            </w:tcBorders>
            <w:shd w:val="clear" w:color="auto" w:fill="FFFFFF" w:themeFill="background1"/>
          </w:tcPr>
          <w:p w14:paraId="0002B8CD" w14:textId="77777777" w:rsidR="00F35FE2" w:rsidRPr="005D579F" w:rsidRDefault="005D579F" w:rsidP="009A1A64">
            <w:pPr>
              <w:pStyle w:val="TableText"/>
              <w:rPr>
                <w:b/>
                <w:bCs/>
              </w:rPr>
            </w:pPr>
            <w:r w:rsidRPr="005D579F">
              <w:rPr>
                <w:b/>
                <w:bCs/>
              </w:rPr>
              <w:t>Complies.</w:t>
            </w:r>
          </w:p>
          <w:p w14:paraId="22940D67" w14:textId="18769265" w:rsidR="005D579F" w:rsidRDefault="005D579F" w:rsidP="009A1A64">
            <w:pPr>
              <w:pStyle w:val="TableText"/>
            </w:pPr>
            <w:r>
              <w:t xml:space="preserve">Proposed works are set back from adjacent heritage items. </w:t>
            </w:r>
          </w:p>
        </w:tc>
      </w:tr>
      <w:tr w:rsidR="00AB3FA7" w14:paraId="635934A5" w14:textId="77777777" w:rsidTr="00AB3FA7">
        <w:tc>
          <w:tcPr>
            <w:tcW w:w="4536" w:type="dxa"/>
            <w:shd w:val="clear" w:color="auto" w:fill="B7B7B9" w:themeFill="accent2" w:themeFillTint="66"/>
          </w:tcPr>
          <w:p w14:paraId="306DA554" w14:textId="53C355B8" w:rsidR="00AB3FA7" w:rsidRPr="00AB3FA7" w:rsidRDefault="00AB3FA7" w:rsidP="008F7E65">
            <w:pPr>
              <w:pStyle w:val="TableText"/>
              <w:rPr>
                <w:b/>
                <w:bCs/>
              </w:rPr>
            </w:pPr>
            <w:r>
              <w:rPr>
                <w:b/>
                <w:bCs/>
              </w:rPr>
              <w:t>4.5.3 Form</w:t>
            </w:r>
          </w:p>
        </w:tc>
        <w:tc>
          <w:tcPr>
            <w:tcW w:w="5103" w:type="dxa"/>
            <w:shd w:val="clear" w:color="auto" w:fill="B7B7B9" w:themeFill="accent2" w:themeFillTint="66"/>
          </w:tcPr>
          <w:p w14:paraId="796C41A8" w14:textId="77777777" w:rsidR="00AB3FA7" w:rsidRDefault="00AB3FA7" w:rsidP="009A1A64">
            <w:pPr>
              <w:pStyle w:val="TableText"/>
            </w:pPr>
          </w:p>
        </w:tc>
        <w:tc>
          <w:tcPr>
            <w:tcW w:w="4931" w:type="dxa"/>
            <w:shd w:val="clear" w:color="auto" w:fill="B7B7B9" w:themeFill="accent2" w:themeFillTint="66"/>
          </w:tcPr>
          <w:p w14:paraId="491FC86F" w14:textId="77777777" w:rsidR="00AB3FA7" w:rsidRDefault="00AB3FA7" w:rsidP="009A1A64">
            <w:pPr>
              <w:pStyle w:val="TableText"/>
            </w:pPr>
          </w:p>
        </w:tc>
      </w:tr>
      <w:tr w:rsidR="00AB3FA7" w14:paraId="59828D4D" w14:textId="77777777" w:rsidTr="00F35FE2">
        <w:tc>
          <w:tcPr>
            <w:tcW w:w="4536" w:type="dxa"/>
            <w:shd w:val="clear" w:color="auto" w:fill="FFFFFF" w:themeFill="background1"/>
          </w:tcPr>
          <w:p w14:paraId="5623B009" w14:textId="5BD0FE63" w:rsidR="00AB3FA7" w:rsidRPr="00AB3FA7" w:rsidRDefault="00AB3FA7" w:rsidP="008F7E65">
            <w:pPr>
              <w:pStyle w:val="TableText"/>
            </w:pPr>
            <w:r w:rsidRPr="00AB3FA7">
              <w:lastRenderedPageBreak/>
              <w:t>a) The form of the original building should remain evident or “legible” after the additions have been completed</w:t>
            </w:r>
            <w:r>
              <w:t>.</w:t>
            </w:r>
          </w:p>
        </w:tc>
        <w:tc>
          <w:tcPr>
            <w:tcW w:w="5103" w:type="dxa"/>
            <w:shd w:val="clear" w:color="auto" w:fill="FFFFFF" w:themeFill="background1"/>
          </w:tcPr>
          <w:p w14:paraId="32253132" w14:textId="77777777" w:rsidR="00AB3FA7" w:rsidRDefault="00AB3FA7" w:rsidP="009A1A64">
            <w:pPr>
              <w:pStyle w:val="TableText"/>
            </w:pPr>
          </w:p>
        </w:tc>
        <w:tc>
          <w:tcPr>
            <w:tcW w:w="4931" w:type="dxa"/>
            <w:shd w:val="clear" w:color="auto" w:fill="FFFFFF" w:themeFill="background1"/>
          </w:tcPr>
          <w:p w14:paraId="0D195B8B" w14:textId="77777777" w:rsidR="00AB3FA7" w:rsidRPr="005D579F" w:rsidRDefault="005D579F" w:rsidP="009A1A64">
            <w:pPr>
              <w:pStyle w:val="TableText"/>
              <w:rPr>
                <w:b/>
                <w:bCs/>
              </w:rPr>
            </w:pPr>
            <w:r w:rsidRPr="005D579F">
              <w:rPr>
                <w:b/>
                <w:bCs/>
              </w:rPr>
              <w:t>Complies.</w:t>
            </w:r>
          </w:p>
          <w:p w14:paraId="58BC3229" w14:textId="77777777" w:rsidR="005D579F" w:rsidRDefault="005D579F" w:rsidP="009A1A64">
            <w:pPr>
              <w:pStyle w:val="TableText"/>
            </w:pPr>
            <w:r>
              <w:t xml:space="preserve">The original form of the adjacent heritage items is remains clearly identifiable and physically separated from the proposed building. </w:t>
            </w:r>
          </w:p>
          <w:p w14:paraId="57DD2288" w14:textId="0FFB6930" w:rsidR="005D579F" w:rsidRDefault="005D579F" w:rsidP="009A1A64">
            <w:pPr>
              <w:pStyle w:val="TableText"/>
            </w:pPr>
            <w:r>
              <w:t>The Heritage referral is noted requesting greater separation from the fire station and restricted use of the service lane.</w:t>
            </w:r>
          </w:p>
        </w:tc>
      </w:tr>
      <w:tr w:rsidR="00AB3FA7" w14:paraId="25019B05" w14:textId="77777777" w:rsidTr="00F35FE2">
        <w:tc>
          <w:tcPr>
            <w:tcW w:w="4536" w:type="dxa"/>
            <w:shd w:val="clear" w:color="auto" w:fill="FFFFFF" w:themeFill="background1"/>
          </w:tcPr>
          <w:p w14:paraId="04EB9AA5" w14:textId="4CFC7BDA" w:rsidR="00AB3FA7" w:rsidRPr="00AB3FA7" w:rsidRDefault="00AB3FA7" w:rsidP="008F7E65">
            <w:pPr>
              <w:pStyle w:val="TableText"/>
            </w:pPr>
            <w:r w:rsidRPr="00AB3FA7">
              <w:t>d) The form of additions should draw on that of the parent structure so that the new work is in harmony with the original</w:t>
            </w:r>
            <w:r>
              <w:t>.</w:t>
            </w:r>
          </w:p>
        </w:tc>
        <w:tc>
          <w:tcPr>
            <w:tcW w:w="5103" w:type="dxa"/>
            <w:shd w:val="clear" w:color="auto" w:fill="FFFFFF" w:themeFill="background1"/>
          </w:tcPr>
          <w:p w14:paraId="5D984D82" w14:textId="77777777" w:rsidR="00AB3FA7" w:rsidRDefault="00AB3FA7" w:rsidP="009A1A64">
            <w:pPr>
              <w:pStyle w:val="TableText"/>
            </w:pPr>
          </w:p>
        </w:tc>
        <w:tc>
          <w:tcPr>
            <w:tcW w:w="4931" w:type="dxa"/>
            <w:shd w:val="clear" w:color="auto" w:fill="FFFFFF" w:themeFill="background1"/>
          </w:tcPr>
          <w:p w14:paraId="2189CAA7" w14:textId="77777777" w:rsidR="005D579F" w:rsidRPr="005D579F" w:rsidRDefault="005D579F" w:rsidP="005D579F">
            <w:pPr>
              <w:pStyle w:val="TableText"/>
              <w:rPr>
                <w:b/>
                <w:bCs/>
              </w:rPr>
            </w:pPr>
            <w:r w:rsidRPr="005D579F">
              <w:rPr>
                <w:b/>
                <w:bCs/>
              </w:rPr>
              <w:t>Complies.</w:t>
            </w:r>
          </w:p>
          <w:p w14:paraId="3E303638" w14:textId="277E754D" w:rsidR="005D579F" w:rsidRDefault="005D579F" w:rsidP="005D579F">
            <w:pPr>
              <w:pStyle w:val="TableText"/>
            </w:pPr>
            <w:r>
              <w:t xml:space="preserve">The ground floor architectural features, building form and proposed materials complement the adjacent heritage items. </w:t>
            </w:r>
          </w:p>
          <w:p w14:paraId="36E25C74" w14:textId="5A9CDC1B" w:rsidR="00AB3FA7" w:rsidRDefault="005D579F" w:rsidP="005D579F">
            <w:pPr>
              <w:pStyle w:val="TableText"/>
            </w:pPr>
            <w:r>
              <w:t>The Heritage referral is noted requesting greater separation from the fire station and restricted use of the service lane.</w:t>
            </w:r>
          </w:p>
        </w:tc>
      </w:tr>
      <w:tr w:rsidR="00AB3FA7" w14:paraId="5CD18E4C" w14:textId="77777777" w:rsidTr="00AB3FA7">
        <w:tc>
          <w:tcPr>
            <w:tcW w:w="4536" w:type="dxa"/>
            <w:tcBorders>
              <w:bottom w:val="single" w:sz="4" w:space="0" w:color="4E4E50" w:themeColor="accent2"/>
            </w:tcBorders>
            <w:shd w:val="clear" w:color="auto" w:fill="FFFFFF" w:themeFill="background1"/>
          </w:tcPr>
          <w:p w14:paraId="0B72E4C8" w14:textId="0EDBFD14" w:rsidR="00AB3FA7" w:rsidRPr="00AB3FA7" w:rsidRDefault="00AB3FA7" w:rsidP="008F7E65">
            <w:pPr>
              <w:pStyle w:val="TableText"/>
            </w:pPr>
            <w:r w:rsidRPr="00AB3FA7">
              <w:t>e) Where the form of the addition is not similar to the original, it shall be designed as a separate entity that is linked back to the heritage building.</w:t>
            </w:r>
          </w:p>
        </w:tc>
        <w:tc>
          <w:tcPr>
            <w:tcW w:w="5103" w:type="dxa"/>
            <w:tcBorders>
              <w:bottom w:val="single" w:sz="4" w:space="0" w:color="4E4E50" w:themeColor="accent2"/>
            </w:tcBorders>
            <w:shd w:val="clear" w:color="auto" w:fill="FFFFFF" w:themeFill="background1"/>
          </w:tcPr>
          <w:p w14:paraId="51BF9590" w14:textId="77777777" w:rsidR="00AB3FA7" w:rsidRDefault="00AB3FA7" w:rsidP="009A1A64">
            <w:pPr>
              <w:pStyle w:val="TableText"/>
            </w:pPr>
          </w:p>
        </w:tc>
        <w:tc>
          <w:tcPr>
            <w:tcW w:w="4931" w:type="dxa"/>
            <w:tcBorders>
              <w:bottom w:val="single" w:sz="4" w:space="0" w:color="4E4E50" w:themeColor="accent2"/>
            </w:tcBorders>
            <w:shd w:val="clear" w:color="auto" w:fill="FFFFFF" w:themeFill="background1"/>
          </w:tcPr>
          <w:p w14:paraId="48AF7E22" w14:textId="77777777" w:rsidR="005D579F" w:rsidRPr="005D579F" w:rsidRDefault="005D579F" w:rsidP="005D579F">
            <w:pPr>
              <w:pStyle w:val="TableText"/>
              <w:rPr>
                <w:b/>
                <w:bCs/>
              </w:rPr>
            </w:pPr>
            <w:r w:rsidRPr="005D579F">
              <w:rPr>
                <w:b/>
                <w:bCs/>
              </w:rPr>
              <w:t>Complies.</w:t>
            </w:r>
          </w:p>
          <w:p w14:paraId="0F86B319" w14:textId="77777777" w:rsidR="005D579F" w:rsidRDefault="005D579F" w:rsidP="005D579F">
            <w:pPr>
              <w:pStyle w:val="TableText"/>
            </w:pPr>
            <w:r>
              <w:t xml:space="preserve">The ground floor architectural features, building form and proposed materials complement the adjacent heritage items. </w:t>
            </w:r>
          </w:p>
          <w:p w14:paraId="3DD98509" w14:textId="3D918A44" w:rsidR="00AB3FA7" w:rsidRDefault="005D579F" w:rsidP="005D579F">
            <w:pPr>
              <w:pStyle w:val="TableText"/>
            </w:pPr>
            <w:r>
              <w:lastRenderedPageBreak/>
              <w:t>The Heritage referral is noted requesting greater separation from the fire station and restricted use of the service lane.</w:t>
            </w:r>
          </w:p>
        </w:tc>
      </w:tr>
      <w:tr w:rsidR="00AB3FA7" w14:paraId="0FD95CC4" w14:textId="77777777" w:rsidTr="00AB3FA7">
        <w:tc>
          <w:tcPr>
            <w:tcW w:w="4536" w:type="dxa"/>
            <w:shd w:val="clear" w:color="auto" w:fill="B7B7B9" w:themeFill="accent2" w:themeFillTint="66"/>
          </w:tcPr>
          <w:p w14:paraId="6A7DB79C" w14:textId="5D0C29E3" w:rsidR="00AB3FA7" w:rsidRPr="00AB3FA7" w:rsidRDefault="00AB3FA7" w:rsidP="008F7E65">
            <w:pPr>
              <w:pStyle w:val="TableText"/>
              <w:rPr>
                <w:b/>
                <w:bCs/>
              </w:rPr>
            </w:pPr>
            <w:r>
              <w:rPr>
                <w:b/>
                <w:bCs/>
              </w:rPr>
              <w:lastRenderedPageBreak/>
              <w:t>4.5.4 Scale, Height and Bulk</w:t>
            </w:r>
            <w:r w:rsidR="0020762B">
              <w:rPr>
                <w:b/>
                <w:bCs/>
              </w:rPr>
              <w:t xml:space="preserve"> – Not Applicable </w:t>
            </w:r>
          </w:p>
        </w:tc>
        <w:tc>
          <w:tcPr>
            <w:tcW w:w="5103" w:type="dxa"/>
            <w:shd w:val="clear" w:color="auto" w:fill="B7B7B9" w:themeFill="accent2" w:themeFillTint="66"/>
          </w:tcPr>
          <w:p w14:paraId="73F9C817" w14:textId="77777777" w:rsidR="00AB3FA7" w:rsidRDefault="00AB3FA7" w:rsidP="009A1A64">
            <w:pPr>
              <w:pStyle w:val="TableText"/>
            </w:pPr>
          </w:p>
        </w:tc>
        <w:tc>
          <w:tcPr>
            <w:tcW w:w="4931" w:type="dxa"/>
            <w:shd w:val="clear" w:color="auto" w:fill="B7B7B9" w:themeFill="accent2" w:themeFillTint="66"/>
          </w:tcPr>
          <w:p w14:paraId="507E1430" w14:textId="71D2502D" w:rsidR="00AB3FA7" w:rsidRDefault="0020762B" w:rsidP="0020762B">
            <w:pPr>
              <w:pStyle w:val="TableText"/>
            </w:pPr>
            <w:r>
              <w:t xml:space="preserve">The proposed development is not an </w:t>
            </w:r>
            <w:r>
              <w:t>extension of the heritage item.</w:t>
            </w:r>
          </w:p>
        </w:tc>
      </w:tr>
      <w:tr w:rsidR="00AB3FA7" w14:paraId="74612210" w14:textId="77777777" w:rsidTr="00AB3FA7">
        <w:tc>
          <w:tcPr>
            <w:tcW w:w="4536" w:type="dxa"/>
            <w:shd w:val="clear" w:color="auto" w:fill="B7B7B9" w:themeFill="accent2" w:themeFillTint="66"/>
          </w:tcPr>
          <w:p w14:paraId="39598308" w14:textId="1A497680" w:rsidR="00AB3FA7" w:rsidRPr="00AB3FA7" w:rsidRDefault="00AB3FA7" w:rsidP="008F7E65">
            <w:pPr>
              <w:pStyle w:val="TableText"/>
              <w:rPr>
                <w:b/>
                <w:bCs/>
              </w:rPr>
            </w:pPr>
            <w:r>
              <w:rPr>
                <w:b/>
                <w:bCs/>
              </w:rPr>
              <w:t>4.5.5 Setbacks</w:t>
            </w:r>
            <w:r w:rsidR="0020762B">
              <w:rPr>
                <w:b/>
                <w:bCs/>
              </w:rPr>
              <w:t xml:space="preserve"> - Not Applicable </w:t>
            </w:r>
          </w:p>
        </w:tc>
        <w:tc>
          <w:tcPr>
            <w:tcW w:w="5103" w:type="dxa"/>
            <w:shd w:val="clear" w:color="auto" w:fill="B7B7B9" w:themeFill="accent2" w:themeFillTint="66"/>
          </w:tcPr>
          <w:p w14:paraId="3A049117" w14:textId="77777777" w:rsidR="00AB3FA7" w:rsidRDefault="00AB3FA7" w:rsidP="009A1A64">
            <w:pPr>
              <w:pStyle w:val="TableText"/>
            </w:pPr>
          </w:p>
        </w:tc>
        <w:tc>
          <w:tcPr>
            <w:tcW w:w="4931" w:type="dxa"/>
            <w:shd w:val="clear" w:color="auto" w:fill="B7B7B9" w:themeFill="accent2" w:themeFillTint="66"/>
          </w:tcPr>
          <w:p w14:paraId="5C3EE842" w14:textId="7D85A124" w:rsidR="00AB3FA7" w:rsidRDefault="0020762B" w:rsidP="0020762B">
            <w:pPr>
              <w:pStyle w:val="TableText"/>
            </w:pPr>
            <w:r>
              <w:t xml:space="preserve">The proposed development is not an </w:t>
            </w:r>
            <w:r>
              <w:t>extension of the heritage item.</w:t>
            </w:r>
          </w:p>
        </w:tc>
      </w:tr>
      <w:tr w:rsidR="00291BFA" w14:paraId="5CDDCEDE" w14:textId="77777777" w:rsidTr="00291BFA">
        <w:tc>
          <w:tcPr>
            <w:tcW w:w="4536" w:type="dxa"/>
            <w:shd w:val="clear" w:color="auto" w:fill="B7B7B9" w:themeFill="accent2" w:themeFillTint="66"/>
          </w:tcPr>
          <w:p w14:paraId="493B125B" w14:textId="0870E8BB" w:rsidR="00291BFA" w:rsidRDefault="00291BFA" w:rsidP="008F7E65">
            <w:pPr>
              <w:pStyle w:val="TableText"/>
              <w:rPr>
                <w:b/>
                <w:bCs/>
              </w:rPr>
            </w:pPr>
            <w:r>
              <w:rPr>
                <w:b/>
                <w:bCs/>
              </w:rPr>
              <w:t>4.5.6 Site Coverage</w:t>
            </w:r>
            <w:r w:rsidR="0020762B">
              <w:rPr>
                <w:b/>
                <w:bCs/>
              </w:rPr>
              <w:t xml:space="preserve"> – Not Applicable </w:t>
            </w:r>
          </w:p>
        </w:tc>
        <w:tc>
          <w:tcPr>
            <w:tcW w:w="5103" w:type="dxa"/>
            <w:shd w:val="clear" w:color="auto" w:fill="B7B7B9" w:themeFill="accent2" w:themeFillTint="66"/>
          </w:tcPr>
          <w:p w14:paraId="7A3C167B" w14:textId="77777777" w:rsidR="00291BFA" w:rsidRDefault="00291BFA" w:rsidP="009A1A64">
            <w:pPr>
              <w:pStyle w:val="TableText"/>
            </w:pPr>
          </w:p>
        </w:tc>
        <w:tc>
          <w:tcPr>
            <w:tcW w:w="4931" w:type="dxa"/>
            <w:shd w:val="clear" w:color="auto" w:fill="B7B7B9" w:themeFill="accent2" w:themeFillTint="66"/>
          </w:tcPr>
          <w:p w14:paraId="6E375C53" w14:textId="00B0442E" w:rsidR="00291BFA" w:rsidRDefault="0020762B" w:rsidP="009A1A64">
            <w:pPr>
              <w:pStyle w:val="TableText"/>
            </w:pPr>
            <w:r>
              <w:t>The proposed development is not an extension of the heritage item.</w:t>
            </w:r>
          </w:p>
        </w:tc>
      </w:tr>
      <w:tr w:rsidR="00201490" w14:paraId="6A446E48" w14:textId="77777777" w:rsidTr="00291BFA">
        <w:tc>
          <w:tcPr>
            <w:tcW w:w="4536" w:type="dxa"/>
            <w:shd w:val="clear" w:color="auto" w:fill="B7B7B9" w:themeFill="accent2" w:themeFillTint="66"/>
          </w:tcPr>
          <w:p w14:paraId="107B1B0E" w14:textId="0CAED508" w:rsidR="00201490" w:rsidRDefault="00201490" w:rsidP="00201490">
            <w:pPr>
              <w:pStyle w:val="TableText"/>
              <w:rPr>
                <w:b/>
                <w:bCs/>
              </w:rPr>
            </w:pPr>
            <w:r>
              <w:rPr>
                <w:b/>
                <w:bCs/>
              </w:rPr>
              <w:t>4.5.7 Building Materials</w:t>
            </w:r>
            <w:r w:rsidR="0020762B">
              <w:rPr>
                <w:b/>
                <w:bCs/>
              </w:rPr>
              <w:t xml:space="preserve"> – Not Applicable </w:t>
            </w:r>
          </w:p>
        </w:tc>
        <w:tc>
          <w:tcPr>
            <w:tcW w:w="5103" w:type="dxa"/>
            <w:shd w:val="clear" w:color="auto" w:fill="B7B7B9" w:themeFill="accent2" w:themeFillTint="66"/>
          </w:tcPr>
          <w:p w14:paraId="5DC9A59A" w14:textId="77777777" w:rsidR="00201490" w:rsidRDefault="00201490" w:rsidP="00201490">
            <w:pPr>
              <w:pStyle w:val="TableText"/>
            </w:pPr>
          </w:p>
        </w:tc>
        <w:tc>
          <w:tcPr>
            <w:tcW w:w="4931" w:type="dxa"/>
            <w:shd w:val="clear" w:color="auto" w:fill="B7B7B9" w:themeFill="accent2" w:themeFillTint="66"/>
          </w:tcPr>
          <w:p w14:paraId="1BE2E3A8" w14:textId="602B74F2" w:rsidR="00201490" w:rsidRDefault="0020762B" w:rsidP="0020762B">
            <w:pPr>
              <w:pStyle w:val="TableText"/>
            </w:pPr>
            <w:r>
              <w:t xml:space="preserve">The proposed development is not an </w:t>
            </w:r>
            <w:r>
              <w:t>extension of the heritage item.</w:t>
            </w:r>
          </w:p>
        </w:tc>
      </w:tr>
      <w:tr w:rsidR="00201490" w14:paraId="504E4B31" w14:textId="77777777" w:rsidTr="00FA4E31">
        <w:tc>
          <w:tcPr>
            <w:tcW w:w="4536" w:type="dxa"/>
            <w:tcBorders>
              <w:bottom w:val="single" w:sz="4" w:space="0" w:color="4E4E50" w:themeColor="accent2"/>
            </w:tcBorders>
            <w:shd w:val="clear" w:color="auto" w:fill="B7B7B9" w:themeFill="accent2" w:themeFillTint="66"/>
          </w:tcPr>
          <w:p w14:paraId="3A2FB114" w14:textId="089B5232" w:rsidR="00201490" w:rsidRPr="00FA4E31" w:rsidRDefault="00201490" w:rsidP="00201490">
            <w:pPr>
              <w:pStyle w:val="TableText"/>
              <w:rPr>
                <w:b/>
                <w:bCs/>
              </w:rPr>
            </w:pPr>
            <w:r>
              <w:rPr>
                <w:b/>
                <w:bCs/>
              </w:rPr>
              <w:t>4.5.8 Roofs</w:t>
            </w:r>
            <w:r w:rsidR="006B613F">
              <w:rPr>
                <w:b/>
                <w:bCs/>
              </w:rPr>
              <w:t xml:space="preserve"> – Not Applicable </w:t>
            </w:r>
          </w:p>
        </w:tc>
        <w:tc>
          <w:tcPr>
            <w:tcW w:w="5103" w:type="dxa"/>
            <w:tcBorders>
              <w:bottom w:val="single" w:sz="4" w:space="0" w:color="4E4E50" w:themeColor="accent2"/>
            </w:tcBorders>
            <w:shd w:val="clear" w:color="auto" w:fill="B7B7B9" w:themeFill="accent2" w:themeFillTint="66"/>
          </w:tcPr>
          <w:p w14:paraId="52A91851" w14:textId="77777777" w:rsidR="00201490" w:rsidRDefault="00201490" w:rsidP="00201490">
            <w:pPr>
              <w:pStyle w:val="TableText"/>
            </w:pPr>
          </w:p>
        </w:tc>
        <w:tc>
          <w:tcPr>
            <w:tcW w:w="4931" w:type="dxa"/>
            <w:tcBorders>
              <w:bottom w:val="single" w:sz="4" w:space="0" w:color="4E4E50" w:themeColor="accent2"/>
            </w:tcBorders>
            <w:shd w:val="clear" w:color="auto" w:fill="B7B7B9" w:themeFill="accent2" w:themeFillTint="66"/>
          </w:tcPr>
          <w:p w14:paraId="3C16C347" w14:textId="2DB9A77A" w:rsidR="00201490" w:rsidRDefault="0020762B" w:rsidP="00201490">
            <w:pPr>
              <w:pStyle w:val="TableText"/>
            </w:pPr>
            <w:r>
              <w:t>The proposed development is not an extension of the heritage item.</w:t>
            </w:r>
          </w:p>
        </w:tc>
      </w:tr>
      <w:tr w:rsidR="00201490" w14:paraId="096E07AD" w14:textId="77777777" w:rsidTr="003D4553">
        <w:tc>
          <w:tcPr>
            <w:tcW w:w="4536" w:type="dxa"/>
            <w:shd w:val="clear" w:color="auto" w:fill="B7B7B9" w:themeFill="accent2" w:themeFillTint="66"/>
          </w:tcPr>
          <w:p w14:paraId="2A154AED" w14:textId="6AC227F8" w:rsidR="00201490" w:rsidRDefault="00201490" w:rsidP="00201490">
            <w:pPr>
              <w:pStyle w:val="TableText"/>
              <w:rPr>
                <w:b/>
                <w:bCs/>
              </w:rPr>
            </w:pPr>
            <w:r>
              <w:rPr>
                <w:b/>
                <w:bCs/>
              </w:rPr>
              <w:lastRenderedPageBreak/>
              <w:t>4.5.9 Windows and Doors</w:t>
            </w:r>
            <w:r w:rsidR="0020762B">
              <w:rPr>
                <w:b/>
                <w:bCs/>
              </w:rPr>
              <w:t xml:space="preserve"> – Not Applicable </w:t>
            </w:r>
          </w:p>
        </w:tc>
        <w:tc>
          <w:tcPr>
            <w:tcW w:w="5103" w:type="dxa"/>
            <w:shd w:val="clear" w:color="auto" w:fill="B7B7B9" w:themeFill="accent2" w:themeFillTint="66"/>
          </w:tcPr>
          <w:p w14:paraId="0DE824F7" w14:textId="77777777" w:rsidR="00201490" w:rsidRDefault="00201490" w:rsidP="00201490">
            <w:pPr>
              <w:pStyle w:val="TableText"/>
            </w:pPr>
          </w:p>
        </w:tc>
        <w:tc>
          <w:tcPr>
            <w:tcW w:w="4931" w:type="dxa"/>
            <w:shd w:val="clear" w:color="auto" w:fill="B7B7B9" w:themeFill="accent2" w:themeFillTint="66"/>
          </w:tcPr>
          <w:p w14:paraId="1DDEDA6B" w14:textId="3B220F76" w:rsidR="00201490" w:rsidRDefault="0020762B" w:rsidP="00201490">
            <w:pPr>
              <w:pStyle w:val="TableText"/>
            </w:pPr>
            <w:r>
              <w:t>The proposed development is not an extension of the heritage item.</w:t>
            </w:r>
          </w:p>
        </w:tc>
      </w:tr>
      <w:tr w:rsidR="00201490" w14:paraId="36B7456D" w14:textId="77777777" w:rsidTr="003D4553">
        <w:tc>
          <w:tcPr>
            <w:tcW w:w="4536" w:type="dxa"/>
            <w:shd w:val="clear" w:color="auto" w:fill="B7B7B9" w:themeFill="accent2" w:themeFillTint="66"/>
          </w:tcPr>
          <w:p w14:paraId="21451BD2" w14:textId="42758F46" w:rsidR="00201490" w:rsidRDefault="00201490" w:rsidP="00201490">
            <w:pPr>
              <w:pStyle w:val="TableText"/>
              <w:rPr>
                <w:b/>
                <w:bCs/>
              </w:rPr>
            </w:pPr>
            <w:r>
              <w:rPr>
                <w:b/>
                <w:bCs/>
              </w:rPr>
              <w:t>4.5.10 Paint and Colour</w:t>
            </w:r>
            <w:r w:rsidR="0008159C">
              <w:rPr>
                <w:b/>
                <w:bCs/>
              </w:rPr>
              <w:t>-</w:t>
            </w:r>
            <w:r w:rsidR="0020762B">
              <w:rPr>
                <w:b/>
                <w:bCs/>
              </w:rPr>
              <w:t xml:space="preserve">Not Applicable </w:t>
            </w:r>
          </w:p>
        </w:tc>
        <w:tc>
          <w:tcPr>
            <w:tcW w:w="5103" w:type="dxa"/>
            <w:shd w:val="clear" w:color="auto" w:fill="B7B7B9" w:themeFill="accent2" w:themeFillTint="66"/>
          </w:tcPr>
          <w:p w14:paraId="73491057" w14:textId="77777777" w:rsidR="00201490" w:rsidRDefault="00201490" w:rsidP="00201490">
            <w:pPr>
              <w:pStyle w:val="TableText"/>
            </w:pPr>
          </w:p>
        </w:tc>
        <w:tc>
          <w:tcPr>
            <w:tcW w:w="4931" w:type="dxa"/>
            <w:shd w:val="clear" w:color="auto" w:fill="B7B7B9" w:themeFill="accent2" w:themeFillTint="66"/>
          </w:tcPr>
          <w:p w14:paraId="5504DDA1" w14:textId="04B44382" w:rsidR="00201490" w:rsidRDefault="0020762B" w:rsidP="00201490">
            <w:pPr>
              <w:pStyle w:val="TableText"/>
            </w:pPr>
            <w:r>
              <w:t>The proposed development is not an extension of the heritage item.</w:t>
            </w:r>
          </w:p>
        </w:tc>
      </w:tr>
      <w:tr w:rsidR="0008159C" w14:paraId="688C4C95" w14:textId="77777777" w:rsidTr="003D4553">
        <w:tc>
          <w:tcPr>
            <w:tcW w:w="4536" w:type="dxa"/>
            <w:shd w:val="clear" w:color="auto" w:fill="B7B7B9" w:themeFill="accent2" w:themeFillTint="66"/>
          </w:tcPr>
          <w:p w14:paraId="627F8D96" w14:textId="7C88221C" w:rsidR="0008159C" w:rsidRPr="003D4553" w:rsidRDefault="0008159C" w:rsidP="0008159C">
            <w:pPr>
              <w:pStyle w:val="TableText"/>
              <w:rPr>
                <w:b/>
                <w:bCs/>
              </w:rPr>
            </w:pPr>
            <w:r>
              <w:rPr>
                <w:b/>
                <w:bCs/>
              </w:rPr>
              <w:t>4.5.11 Controls on C</w:t>
            </w:r>
            <w:r w:rsidR="0020762B">
              <w:rPr>
                <w:b/>
                <w:bCs/>
              </w:rPr>
              <w:t>ommercial Heritage Buildings – Not A</w:t>
            </w:r>
            <w:r>
              <w:rPr>
                <w:b/>
                <w:bCs/>
              </w:rPr>
              <w:t xml:space="preserve">pplicable </w:t>
            </w:r>
          </w:p>
        </w:tc>
        <w:tc>
          <w:tcPr>
            <w:tcW w:w="5103" w:type="dxa"/>
            <w:shd w:val="clear" w:color="auto" w:fill="B7B7B9" w:themeFill="accent2" w:themeFillTint="66"/>
          </w:tcPr>
          <w:p w14:paraId="526790C7" w14:textId="77777777" w:rsidR="0008159C" w:rsidRDefault="0008159C" w:rsidP="0008159C">
            <w:pPr>
              <w:pStyle w:val="TableText"/>
            </w:pPr>
          </w:p>
        </w:tc>
        <w:tc>
          <w:tcPr>
            <w:tcW w:w="4931" w:type="dxa"/>
            <w:shd w:val="clear" w:color="auto" w:fill="B7B7B9" w:themeFill="accent2" w:themeFillTint="66"/>
          </w:tcPr>
          <w:p w14:paraId="6A2A0199" w14:textId="70E07BD8" w:rsidR="0008159C" w:rsidRDefault="0020762B" w:rsidP="0008159C">
            <w:pPr>
              <w:pStyle w:val="TableText"/>
            </w:pPr>
            <w:r>
              <w:t>The proposed development is not an extension of the heritage item.</w:t>
            </w:r>
          </w:p>
        </w:tc>
      </w:tr>
      <w:tr w:rsidR="0008159C" w14:paraId="2422B707" w14:textId="77777777" w:rsidTr="00732A31">
        <w:tc>
          <w:tcPr>
            <w:tcW w:w="4536" w:type="dxa"/>
            <w:tcBorders>
              <w:bottom w:val="single" w:sz="4" w:space="0" w:color="4E4E50" w:themeColor="accent2"/>
            </w:tcBorders>
            <w:shd w:val="clear" w:color="auto" w:fill="949496" w:themeFill="accent2" w:themeFillTint="99"/>
          </w:tcPr>
          <w:p w14:paraId="0B299D18" w14:textId="5FD113E4" w:rsidR="0008159C" w:rsidRPr="003D4553" w:rsidRDefault="0008159C" w:rsidP="0008159C">
            <w:pPr>
              <w:pStyle w:val="TableText"/>
              <w:rPr>
                <w:b/>
                <w:bCs/>
              </w:rPr>
            </w:pPr>
            <w:r>
              <w:rPr>
                <w:b/>
                <w:bCs/>
              </w:rPr>
              <w:t>4.6 New Buildings (Dwellings and Commercial)</w:t>
            </w:r>
          </w:p>
        </w:tc>
        <w:tc>
          <w:tcPr>
            <w:tcW w:w="5103" w:type="dxa"/>
            <w:tcBorders>
              <w:bottom w:val="single" w:sz="4" w:space="0" w:color="4E4E50" w:themeColor="accent2"/>
            </w:tcBorders>
            <w:shd w:val="clear" w:color="auto" w:fill="949496" w:themeFill="accent2" w:themeFillTint="99"/>
          </w:tcPr>
          <w:p w14:paraId="567C5EDC" w14:textId="77777777" w:rsidR="0008159C" w:rsidRDefault="0008159C" w:rsidP="0008159C">
            <w:pPr>
              <w:pStyle w:val="TableText"/>
            </w:pPr>
          </w:p>
        </w:tc>
        <w:tc>
          <w:tcPr>
            <w:tcW w:w="4931" w:type="dxa"/>
            <w:tcBorders>
              <w:bottom w:val="single" w:sz="4" w:space="0" w:color="4E4E50" w:themeColor="accent2"/>
            </w:tcBorders>
            <w:shd w:val="clear" w:color="auto" w:fill="949496" w:themeFill="accent2" w:themeFillTint="99"/>
          </w:tcPr>
          <w:p w14:paraId="7C500026" w14:textId="77777777" w:rsidR="0008159C" w:rsidRDefault="0008159C" w:rsidP="0008159C">
            <w:pPr>
              <w:pStyle w:val="TableText"/>
            </w:pPr>
          </w:p>
        </w:tc>
      </w:tr>
      <w:tr w:rsidR="0008159C" w14:paraId="19F84EBE" w14:textId="77777777" w:rsidTr="00BB78AD">
        <w:tc>
          <w:tcPr>
            <w:tcW w:w="14570" w:type="dxa"/>
            <w:gridSpan w:val="3"/>
            <w:shd w:val="clear" w:color="auto" w:fill="B7B7B9" w:themeFill="accent2" w:themeFillTint="66"/>
          </w:tcPr>
          <w:p w14:paraId="408DC62C" w14:textId="28A3F6A8" w:rsidR="0008159C" w:rsidRDefault="0008159C" w:rsidP="0008159C">
            <w:pPr>
              <w:pStyle w:val="TableText"/>
            </w:pPr>
            <w:r w:rsidRPr="00732A31">
              <w:rPr>
                <w:b/>
                <w:bCs/>
              </w:rPr>
              <w:t>4.6.2 New buildings in the Vicinity of a Heritage Item and/or the Vicinity of a Conservation Area</w:t>
            </w:r>
          </w:p>
        </w:tc>
      </w:tr>
      <w:tr w:rsidR="0008159C" w14:paraId="7B6C243E" w14:textId="77777777" w:rsidTr="00FA4E31">
        <w:tc>
          <w:tcPr>
            <w:tcW w:w="4536" w:type="dxa"/>
            <w:shd w:val="clear" w:color="auto" w:fill="FFFFFF" w:themeFill="background1"/>
          </w:tcPr>
          <w:p w14:paraId="07489ED5" w14:textId="6BF0C96D" w:rsidR="0008159C" w:rsidRPr="003D4553" w:rsidRDefault="0008159C" w:rsidP="0008159C">
            <w:pPr>
              <w:pStyle w:val="TableText"/>
            </w:pPr>
            <w:r w:rsidRPr="00732A31">
              <w:t>a) Development in the vicinity of a heritage item and/or in the vicinity of a conservation area should be preceded by a detailed analysis demonstrating how character, scale, height, form, siting, materials, colour and detailing of the new building have been sympathetically addressed.</w:t>
            </w:r>
          </w:p>
        </w:tc>
        <w:tc>
          <w:tcPr>
            <w:tcW w:w="5103" w:type="dxa"/>
            <w:shd w:val="clear" w:color="auto" w:fill="FFFFFF" w:themeFill="background1"/>
          </w:tcPr>
          <w:p w14:paraId="6160E1FC" w14:textId="77777777" w:rsidR="0008159C" w:rsidRDefault="0008159C" w:rsidP="0008159C">
            <w:pPr>
              <w:pStyle w:val="TableText"/>
            </w:pPr>
            <w:r>
              <w:t>A Heritage Impact Statement is included at Appendix G.</w:t>
            </w:r>
          </w:p>
          <w:p w14:paraId="080208AE" w14:textId="4E139C52" w:rsidR="0008159C" w:rsidRDefault="0008159C" w:rsidP="0008159C">
            <w:pPr>
              <w:pStyle w:val="TableText"/>
            </w:pPr>
          </w:p>
        </w:tc>
        <w:tc>
          <w:tcPr>
            <w:tcW w:w="4931" w:type="dxa"/>
            <w:shd w:val="clear" w:color="auto" w:fill="FFFFFF" w:themeFill="background1"/>
          </w:tcPr>
          <w:p w14:paraId="1088FD71" w14:textId="4774D5EA" w:rsidR="0008159C" w:rsidRDefault="0008159C" w:rsidP="0008159C">
            <w:pPr>
              <w:pStyle w:val="TableText"/>
              <w:rPr>
                <w:b/>
                <w:bCs/>
              </w:rPr>
            </w:pPr>
            <w:r>
              <w:rPr>
                <w:b/>
                <w:bCs/>
              </w:rPr>
              <w:t>Complies</w:t>
            </w:r>
          </w:p>
          <w:p w14:paraId="5113B0A2" w14:textId="3BEC8FDB" w:rsidR="0008159C" w:rsidRDefault="0008159C" w:rsidP="0008159C">
            <w:pPr>
              <w:pStyle w:val="TableText"/>
            </w:pPr>
            <w:r>
              <w:t>The Heritage referral is noted requesting greater separation from the fire sta</w:t>
            </w:r>
            <w:bookmarkStart w:id="2" w:name="_GoBack"/>
            <w:bookmarkEnd w:id="2"/>
            <w:r>
              <w:t>tion and restricted use of the service lane.</w:t>
            </w:r>
          </w:p>
        </w:tc>
      </w:tr>
      <w:tr w:rsidR="0008159C" w14:paraId="6C22E9DC" w14:textId="77777777" w:rsidTr="00FA4E31">
        <w:tc>
          <w:tcPr>
            <w:tcW w:w="4536" w:type="dxa"/>
            <w:shd w:val="clear" w:color="auto" w:fill="FFFFFF" w:themeFill="background1"/>
          </w:tcPr>
          <w:p w14:paraId="6B6C2169" w14:textId="17862CE2" w:rsidR="0008159C" w:rsidRPr="003D4553" w:rsidRDefault="0008159C" w:rsidP="0008159C">
            <w:pPr>
              <w:pStyle w:val="TableText"/>
            </w:pPr>
            <w:r w:rsidRPr="00732A31">
              <w:t>b) For multi-unit development a heritage impact statement must be undertaken before designing any buildings in the vicinity of heritage items and/or vicinity of a conservation area to ensure their significant attributes are protected.  The design and façade treatment should be informed by the heritage impact statement.</w:t>
            </w:r>
          </w:p>
        </w:tc>
        <w:tc>
          <w:tcPr>
            <w:tcW w:w="5103" w:type="dxa"/>
            <w:shd w:val="clear" w:color="auto" w:fill="FFFFFF" w:themeFill="background1"/>
          </w:tcPr>
          <w:p w14:paraId="2E4AA292" w14:textId="5663E3F7" w:rsidR="0008159C" w:rsidRDefault="0008159C" w:rsidP="0008159C">
            <w:pPr>
              <w:pStyle w:val="TableText"/>
            </w:pPr>
          </w:p>
        </w:tc>
        <w:tc>
          <w:tcPr>
            <w:tcW w:w="4931" w:type="dxa"/>
            <w:shd w:val="clear" w:color="auto" w:fill="FFFFFF" w:themeFill="background1"/>
          </w:tcPr>
          <w:p w14:paraId="2CF2A444" w14:textId="77777777" w:rsidR="0008159C" w:rsidRDefault="0008159C" w:rsidP="0008159C">
            <w:pPr>
              <w:pStyle w:val="TableText"/>
              <w:rPr>
                <w:b/>
                <w:bCs/>
              </w:rPr>
            </w:pPr>
            <w:r>
              <w:rPr>
                <w:b/>
                <w:bCs/>
              </w:rPr>
              <w:t xml:space="preserve">Not Applicable </w:t>
            </w:r>
          </w:p>
          <w:p w14:paraId="004B8466" w14:textId="3E28A296" w:rsidR="0008159C" w:rsidRDefault="0008159C" w:rsidP="0008159C">
            <w:pPr>
              <w:pStyle w:val="TableText"/>
            </w:pPr>
          </w:p>
        </w:tc>
      </w:tr>
      <w:tr w:rsidR="0008159C" w14:paraId="09AD336D" w14:textId="77777777" w:rsidTr="00FA4E31">
        <w:tc>
          <w:tcPr>
            <w:tcW w:w="4536" w:type="dxa"/>
            <w:shd w:val="clear" w:color="auto" w:fill="FFFFFF" w:themeFill="background1"/>
          </w:tcPr>
          <w:p w14:paraId="61CC5AC9" w14:textId="10A21180" w:rsidR="0008159C" w:rsidRPr="003D4553" w:rsidRDefault="0008159C" w:rsidP="0008159C">
            <w:pPr>
              <w:pStyle w:val="TableText"/>
            </w:pPr>
            <w:r w:rsidRPr="00732A31">
              <w:t>c) New buildings may "borrow" architectural elements or design attributes from their historic neighbours, such as roof pitch and form, corrugated iron roofing and weatherboard walls may be of the time and architectural style in which it is designed and built.</w:t>
            </w:r>
          </w:p>
        </w:tc>
        <w:tc>
          <w:tcPr>
            <w:tcW w:w="5103" w:type="dxa"/>
            <w:vMerge w:val="restart"/>
            <w:shd w:val="clear" w:color="auto" w:fill="FFFFFF" w:themeFill="background1"/>
          </w:tcPr>
          <w:p w14:paraId="77C3B75E" w14:textId="1DDA1DE4" w:rsidR="0008159C" w:rsidRDefault="0008159C" w:rsidP="0008159C">
            <w:pPr>
              <w:pStyle w:val="TableText"/>
            </w:pPr>
            <w:r>
              <w:t>The proposed development inclusive of the administrative building, laneways, and public space is to utilise materials and colours inspired by the heritage items of Queanbeyan CBD and interpret them in a modern design.</w:t>
            </w:r>
          </w:p>
        </w:tc>
        <w:tc>
          <w:tcPr>
            <w:tcW w:w="4931" w:type="dxa"/>
            <w:vMerge w:val="restart"/>
            <w:shd w:val="clear" w:color="auto" w:fill="FFFFFF" w:themeFill="background1"/>
          </w:tcPr>
          <w:p w14:paraId="2A5E95FF" w14:textId="1326E9C3" w:rsidR="0008159C" w:rsidRPr="0008159C" w:rsidRDefault="0008159C" w:rsidP="0008159C">
            <w:pPr>
              <w:pStyle w:val="TableText"/>
              <w:rPr>
                <w:b/>
                <w:bCs/>
              </w:rPr>
            </w:pPr>
            <w:r w:rsidRPr="0008159C">
              <w:rPr>
                <w:b/>
                <w:bCs/>
              </w:rPr>
              <w:t>Complies</w:t>
            </w:r>
          </w:p>
        </w:tc>
      </w:tr>
      <w:tr w:rsidR="0008159C" w14:paraId="7E01727C" w14:textId="77777777" w:rsidTr="00FA4E31">
        <w:tc>
          <w:tcPr>
            <w:tcW w:w="4536" w:type="dxa"/>
            <w:shd w:val="clear" w:color="auto" w:fill="FFFFFF" w:themeFill="background1"/>
          </w:tcPr>
          <w:p w14:paraId="3E37A8E5" w14:textId="5C788697" w:rsidR="0008159C" w:rsidRPr="003D4553" w:rsidRDefault="0008159C" w:rsidP="0008159C">
            <w:pPr>
              <w:pStyle w:val="TableText"/>
            </w:pPr>
            <w:r w:rsidRPr="00732A31">
              <w:t>d) In some instances it may be acceptable to interpret traditional design concepts in a modern way so that new development is of the time and architectural style in which it is designed and built.</w:t>
            </w:r>
          </w:p>
        </w:tc>
        <w:tc>
          <w:tcPr>
            <w:tcW w:w="5103" w:type="dxa"/>
            <w:vMerge/>
            <w:shd w:val="clear" w:color="auto" w:fill="FFFFFF" w:themeFill="background1"/>
          </w:tcPr>
          <w:p w14:paraId="78572684" w14:textId="77777777" w:rsidR="0008159C" w:rsidRDefault="0008159C" w:rsidP="0008159C">
            <w:pPr>
              <w:pStyle w:val="TableText"/>
            </w:pPr>
          </w:p>
        </w:tc>
        <w:tc>
          <w:tcPr>
            <w:tcW w:w="4931" w:type="dxa"/>
            <w:vMerge/>
            <w:shd w:val="clear" w:color="auto" w:fill="FFFFFF" w:themeFill="background1"/>
          </w:tcPr>
          <w:p w14:paraId="426D812D" w14:textId="77777777" w:rsidR="0008159C" w:rsidRDefault="0008159C" w:rsidP="0008159C">
            <w:pPr>
              <w:pStyle w:val="TableText"/>
            </w:pPr>
          </w:p>
        </w:tc>
      </w:tr>
      <w:tr w:rsidR="0008159C" w14:paraId="6DD0CEEC" w14:textId="77777777" w:rsidTr="00732A31">
        <w:tc>
          <w:tcPr>
            <w:tcW w:w="4536" w:type="dxa"/>
            <w:tcBorders>
              <w:bottom w:val="single" w:sz="4" w:space="0" w:color="4E4E50" w:themeColor="accent2"/>
            </w:tcBorders>
            <w:shd w:val="clear" w:color="auto" w:fill="FFFFFF" w:themeFill="background1"/>
          </w:tcPr>
          <w:p w14:paraId="4199D562" w14:textId="59F615B4" w:rsidR="0008159C" w:rsidRPr="003D4553" w:rsidRDefault="0008159C" w:rsidP="0008159C">
            <w:pPr>
              <w:pStyle w:val="TableText"/>
            </w:pPr>
            <w:r w:rsidRPr="00732A31">
              <w:t xml:space="preserve">e) New buildings in commercial areas should extend primary design lines from the existing to </w:t>
            </w:r>
            <w:r w:rsidRPr="00732A31">
              <w:lastRenderedPageBreak/>
              <w:t>the new development and/or incorporate a modern parapet where appropriate to maintain consistency in the streetscape.</w:t>
            </w:r>
          </w:p>
        </w:tc>
        <w:tc>
          <w:tcPr>
            <w:tcW w:w="5103" w:type="dxa"/>
            <w:tcBorders>
              <w:bottom w:val="single" w:sz="4" w:space="0" w:color="4E4E50" w:themeColor="accent2"/>
            </w:tcBorders>
            <w:shd w:val="clear" w:color="auto" w:fill="FFFFFF" w:themeFill="background1"/>
          </w:tcPr>
          <w:p w14:paraId="459BEA37"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0975231D" w14:textId="77777777" w:rsidR="0008159C" w:rsidRDefault="0008159C" w:rsidP="0008159C">
            <w:pPr>
              <w:pStyle w:val="TableText"/>
            </w:pPr>
          </w:p>
        </w:tc>
      </w:tr>
      <w:tr w:rsidR="0008159C" w14:paraId="32847A93" w14:textId="77777777" w:rsidTr="00BB78AD">
        <w:tc>
          <w:tcPr>
            <w:tcW w:w="14570" w:type="dxa"/>
            <w:gridSpan w:val="3"/>
            <w:shd w:val="clear" w:color="auto" w:fill="B7B7B9" w:themeFill="accent2" w:themeFillTint="66"/>
          </w:tcPr>
          <w:p w14:paraId="340803BF" w14:textId="15A9A36C" w:rsidR="0008159C" w:rsidRPr="00732A31" w:rsidRDefault="0008159C" w:rsidP="0008159C">
            <w:pPr>
              <w:pStyle w:val="TableText"/>
              <w:rPr>
                <w:b/>
                <w:bCs/>
              </w:rPr>
            </w:pPr>
            <w:r w:rsidRPr="00732A31">
              <w:rPr>
                <w:b/>
                <w:bCs/>
              </w:rPr>
              <w:t xml:space="preserve">4.6.3 Scale, Proportion and Bulk of New Buildings  </w:t>
            </w:r>
          </w:p>
        </w:tc>
      </w:tr>
      <w:tr w:rsidR="0008159C" w14:paraId="119FB164" w14:textId="77777777" w:rsidTr="00FA4E31">
        <w:tc>
          <w:tcPr>
            <w:tcW w:w="4536" w:type="dxa"/>
            <w:shd w:val="clear" w:color="auto" w:fill="FFFFFF" w:themeFill="background1"/>
          </w:tcPr>
          <w:p w14:paraId="4D424269" w14:textId="122AFE92" w:rsidR="0008159C" w:rsidRPr="003D4553" w:rsidRDefault="0008159C" w:rsidP="0008159C">
            <w:pPr>
              <w:pStyle w:val="TableText"/>
            </w:pPr>
            <w:r w:rsidRPr="00732A31">
              <w:t>a) A new building in the vicinity of a heritage item and/or Conservation Area must not dominate the heritage item by virtue of its height, scale, bulk or proximity and in general will be of a similar height or less than the neighbouring heritage item.</w:t>
            </w:r>
          </w:p>
        </w:tc>
        <w:tc>
          <w:tcPr>
            <w:tcW w:w="5103" w:type="dxa"/>
            <w:vMerge w:val="restart"/>
            <w:shd w:val="clear" w:color="auto" w:fill="FFFFFF" w:themeFill="background1"/>
          </w:tcPr>
          <w:p w14:paraId="10F2E389" w14:textId="77777777" w:rsidR="0008159C" w:rsidRDefault="0008159C" w:rsidP="0008159C">
            <w:pPr>
              <w:pStyle w:val="TableText"/>
            </w:pPr>
            <w:r>
              <w:t>The height of the building has been broken down, with ground and mezzanine levels designed to relate to the human scale and tactile brick materiality of neighbouring heritage-listed buildings.</w:t>
            </w:r>
          </w:p>
          <w:p w14:paraId="01FA8ABE" w14:textId="1062F761" w:rsidR="0008159C" w:rsidRDefault="0008159C" w:rsidP="0008159C">
            <w:pPr>
              <w:pStyle w:val="TableText"/>
            </w:pPr>
            <w:r>
              <w:t>Whilst the overall scale of the building is very different to the scale of original buildings in the streetscape, it responds meaningfully to the dominant pattern of the streetscape with two narrower building forms, visually separated in the streetscape.</w:t>
            </w:r>
          </w:p>
        </w:tc>
        <w:tc>
          <w:tcPr>
            <w:tcW w:w="4931" w:type="dxa"/>
            <w:vMerge w:val="restart"/>
            <w:shd w:val="clear" w:color="auto" w:fill="FFFFFF" w:themeFill="background1"/>
          </w:tcPr>
          <w:p w14:paraId="0BD9AA77" w14:textId="77777777" w:rsidR="0008159C" w:rsidRDefault="0008159C" w:rsidP="0008159C">
            <w:pPr>
              <w:pStyle w:val="TableText"/>
              <w:rPr>
                <w:b/>
                <w:bCs/>
              </w:rPr>
            </w:pPr>
            <w:r>
              <w:rPr>
                <w:b/>
                <w:bCs/>
              </w:rPr>
              <w:t>Complies</w:t>
            </w:r>
          </w:p>
          <w:p w14:paraId="03A95147" w14:textId="386D54E6" w:rsidR="0008159C" w:rsidRDefault="0008159C" w:rsidP="0008159C">
            <w:pPr>
              <w:pStyle w:val="TableText"/>
            </w:pPr>
            <w:r>
              <w:t>The Heritage referral is noted requesting greater separation from the fire station and restricted use of the service lane.</w:t>
            </w:r>
          </w:p>
        </w:tc>
      </w:tr>
      <w:tr w:rsidR="0008159C" w14:paraId="4AD1CEC8" w14:textId="77777777" w:rsidTr="00FA4E31">
        <w:tc>
          <w:tcPr>
            <w:tcW w:w="4536" w:type="dxa"/>
            <w:shd w:val="clear" w:color="auto" w:fill="FFFFFF" w:themeFill="background1"/>
          </w:tcPr>
          <w:p w14:paraId="1A6C2E71" w14:textId="482E264F" w:rsidR="0008159C" w:rsidRPr="003D4553" w:rsidRDefault="0008159C" w:rsidP="0008159C">
            <w:pPr>
              <w:pStyle w:val="TableText"/>
            </w:pPr>
            <w:r w:rsidRPr="00732A31">
              <w:t>b) The height of new buildings that are within proximity of the boundary to the listed item should be scaled down to be approximately the same as the heritage item.</w:t>
            </w:r>
          </w:p>
        </w:tc>
        <w:tc>
          <w:tcPr>
            <w:tcW w:w="5103" w:type="dxa"/>
            <w:vMerge/>
            <w:shd w:val="clear" w:color="auto" w:fill="FFFFFF" w:themeFill="background1"/>
          </w:tcPr>
          <w:p w14:paraId="433E62DE" w14:textId="2FF1BABC" w:rsidR="0008159C" w:rsidRDefault="0008159C" w:rsidP="0008159C">
            <w:pPr>
              <w:pStyle w:val="TableText"/>
            </w:pPr>
          </w:p>
        </w:tc>
        <w:tc>
          <w:tcPr>
            <w:tcW w:w="4931" w:type="dxa"/>
            <w:vMerge/>
            <w:shd w:val="clear" w:color="auto" w:fill="FFFFFF" w:themeFill="background1"/>
          </w:tcPr>
          <w:p w14:paraId="4B63B2DE" w14:textId="09D989DE" w:rsidR="0008159C" w:rsidRDefault="0008159C" w:rsidP="0008159C">
            <w:pPr>
              <w:pStyle w:val="TableText"/>
            </w:pPr>
          </w:p>
        </w:tc>
      </w:tr>
      <w:tr w:rsidR="0008159C" w14:paraId="2549C792" w14:textId="77777777" w:rsidTr="00FA4E31">
        <w:tc>
          <w:tcPr>
            <w:tcW w:w="4536" w:type="dxa"/>
            <w:shd w:val="clear" w:color="auto" w:fill="FFFFFF" w:themeFill="background1"/>
          </w:tcPr>
          <w:p w14:paraId="502CD29D" w14:textId="6C5217B6" w:rsidR="0008159C" w:rsidRPr="003D4553" w:rsidRDefault="0008159C" w:rsidP="0008159C">
            <w:pPr>
              <w:pStyle w:val="TableText"/>
            </w:pPr>
            <w:r w:rsidRPr="00732A31">
              <w:t>c) New external brick walls shall show an appropriate change or banding at ground floor and first floor level, or alternatively at approximately window sill height, to assist in reducing the apparent scale of a proposal. Similar changes may be necessary for other surface materials.</w:t>
            </w:r>
          </w:p>
        </w:tc>
        <w:tc>
          <w:tcPr>
            <w:tcW w:w="5103" w:type="dxa"/>
            <w:shd w:val="clear" w:color="auto" w:fill="FFFFFF" w:themeFill="background1"/>
          </w:tcPr>
          <w:p w14:paraId="6298BAC2" w14:textId="77777777" w:rsidR="0008159C" w:rsidRDefault="0008159C" w:rsidP="0008159C">
            <w:pPr>
              <w:pStyle w:val="TableText"/>
            </w:pPr>
          </w:p>
        </w:tc>
        <w:tc>
          <w:tcPr>
            <w:tcW w:w="4931" w:type="dxa"/>
            <w:shd w:val="clear" w:color="auto" w:fill="FFFFFF" w:themeFill="background1"/>
          </w:tcPr>
          <w:p w14:paraId="2266B4B7" w14:textId="77777777" w:rsidR="0008159C" w:rsidRDefault="0008159C" w:rsidP="0008159C">
            <w:pPr>
              <w:pStyle w:val="TableText"/>
              <w:rPr>
                <w:b/>
                <w:bCs/>
              </w:rPr>
            </w:pPr>
            <w:r>
              <w:rPr>
                <w:b/>
                <w:bCs/>
              </w:rPr>
              <w:t>Complies</w:t>
            </w:r>
          </w:p>
          <w:p w14:paraId="184189A2" w14:textId="77777777" w:rsidR="0008159C" w:rsidRDefault="0008159C" w:rsidP="0008159C">
            <w:pPr>
              <w:pStyle w:val="TableText"/>
            </w:pPr>
          </w:p>
        </w:tc>
      </w:tr>
      <w:tr w:rsidR="0008159C" w14:paraId="55BAE9B7" w14:textId="77777777" w:rsidTr="00FA4E31">
        <w:tc>
          <w:tcPr>
            <w:tcW w:w="4536" w:type="dxa"/>
            <w:shd w:val="clear" w:color="auto" w:fill="FFFFFF" w:themeFill="background1"/>
          </w:tcPr>
          <w:p w14:paraId="0C769AF2" w14:textId="14FB4A9E" w:rsidR="0008159C" w:rsidRPr="00732A31" w:rsidRDefault="0008159C" w:rsidP="0008159C">
            <w:pPr>
              <w:pStyle w:val="TableText"/>
            </w:pPr>
            <w:r w:rsidRPr="00732A31">
              <w:t>d) Multi-unit development that is adjacent to a heritage item (i.e. where the boundaries are in common, as opposed to over the road) should be stepped back at first storey so that upper storeys do not dominate the heritage place.</w:t>
            </w:r>
          </w:p>
        </w:tc>
        <w:tc>
          <w:tcPr>
            <w:tcW w:w="5103" w:type="dxa"/>
            <w:shd w:val="clear" w:color="auto" w:fill="FFFFFF" w:themeFill="background1"/>
          </w:tcPr>
          <w:p w14:paraId="3D22E45F" w14:textId="0A66B081" w:rsidR="0008159C" w:rsidRDefault="0008159C" w:rsidP="0008159C">
            <w:pPr>
              <w:pStyle w:val="TableText"/>
            </w:pPr>
            <w:r>
              <w:t>Where the former School of Arts and the former Fire Station buildings are located on the front boundary, the office building is set back from the front boundary and stepped back gradually in plan to lead the visitor deep into the block.</w:t>
            </w:r>
          </w:p>
        </w:tc>
        <w:tc>
          <w:tcPr>
            <w:tcW w:w="4931" w:type="dxa"/>
            <w:shd w:val="clear" w:color="auto" w:fill="FFFFFF" w:themeFill="background1"/>
          </w:tcPr>
          <w:p w14:paraId="0FC095DA" w14:textId="77777777" w:rsidR="0008159C" w:rsidRDefault="0008159C" w:rsidP="0008159C">
            <w:pPr>
              <w:pStyle w:val="TableText"/>
              <w:rPr>
                <w:b/>
                <w:bCs/>
              </w:rPr>
            </w:pPr>
            <w:r>
              <w:rPr>
                <w:b/>
                <w:bCs/>
              </w:rPr>
              <w:t>Complies</w:t>
            </w:r>
          </w:p>
          <w:p w14:paraId="7E9FDBA9" w14:textId="592F89A6" w:rsidR="0008159C" w:rsidRDefault="0008159C" w:rsidP="0008159C">
            <w:pPr>
              <w:pStyle w:val="TableText"/>
            </w:pPr>
          </w:p>
        </w:tc>
      </w:tr>
      <w:tr w:rsidR="0008159C" w14:paraId="39EE55B3" w14:textId="77777777" w:rsidTr="00732A31">
        <w:tc>
          <w:tcPr>
            <w:tcW w:w="4536" w:type="dxa"/>
            <w:tcBorders>
              <w:bottom w:val="single" w:sz="4" w:space="0" w:color="4E4E50" w:themeColor="accent2"/>
            </w:tcBorders>
            <w:shd w:val="clear" w:color="auto" w:fill="FFFFFF" w:themeFill="background1"/>
          </w:tcPr>
          <w:p w14:paraId="430128CF" w14:textId="046A3CDD" w:rsidR="0008159C" w:rsidRPr="00732A31" w:rsidRDefault="0008159C" w:rsidP="0008159C">
            <w:pPr>
              <w:pStyle w:val="TableText"/>
            </w:pPr>
            <w:r w:rsidRPr="00732A31">
              <w:t>e) Vegetation screens are not to be used as an excuse to permit poor or unsympathetic development within close proximity of a heritage boundary.</w:t>
            </w:r>
          </w:p>
        </w:tc>
        <w:tc>
          <w:tcPr>
            <w:tcW w:w="5103" w:type="dxa"/>
            <w:tcBorders>
              <w:bottom w:val="single" w:sz="4" w:space="0" w:color="4E4E50" w:themeColor="accent2"/>
            </w:tcBorders>
            <w:shd w:val="clear" w:color="auto" w:fill="FFFFFF" w:themeFill="background1"/>
          </w:tcPr>
          <w:p w14:paraId="1E876F48" w14:textId="75CF73CC" w:rsidR="0008159C" w:rsidRDefault="0008159C" w:rsidP="0008159C">
            <w:pPr>
              <w:pStyle w:val="TableText"/>
            </w:pPr>
            <w:r>
              <w:t>The proposal utilises a variety of methods to mitigate impacts on the heritage significance of the heritage items.</w:t>
            </w:r>
          </w:p>
        </w:tc>
        <w:tc>
          <w:tcPr>
            <w:tcW w:w="4931" w:type="dxa"/>
            <w:tcBorders>
              <w:bottom w:val="single" w:sz="4" w:space="0" w:color="4E4E50" w:themeColor="accent2"/>
            </w:tcBorders>
            <w:shd w:val="clear" w:color="auto" w:fill="FFFFFF" w:themeFill="background1"/>
          </w:tcPr>
          <w:p w14:paraId="6CC906CB" w14:textId="77777777" w:rsidR="0008159C" w:rsidRDefault="0008159C" w:rsidP="0008159C">
            <w:pPr>
              <w:pStyle w:val="TableText"/>
              <w:rPr>
                <w:b/>
                <w:bCs/>
              </w:rPr>
            </w:pPr>
            <w:r>
              <w:rPr>
                <w:b/>
                <w:bCs/>
              </w:rPr>
              <w:t>Complies</w:t>
            </w:r>
          </w:p>
          <w:p w14:paraId="4CC4EE14" w14:textId="6A4178ED" w:rsidR="0008159C" w:rsidRDefault="0008159C" w:rsidP="0008159C">
            <w:pPr>
              <w:pStyle w:val="TableText"/>
            </w:pPr>
          </w:p>
        </w:tc>
      </w:tr>
      <w:tr w:rsidR="0008159C" w14:paraId="52E7D9BE" w14:textId="77777777" w:rsidTr="00732A31">
        <w:tc>
          <w:tcPr>
            <w:tcW w:w="4536" w:type="dxa"/>
            <w:shd w:val="clear" w:color="auto" w:fill="B7B7B9" w:themeFill="accent2" w:themeFillTint="66"/>
          </w:tcPr>
          <w:p w14:paraId="13D520EE" w14:textId="7A3ACE07" w:rsidR="0008159C" w:rsidRPr="00732A31" w:rsidRDefault="0008159C" w:rsidP="0008159C">
            <w:pPr>
              <w:pStyle w:val="TableText"/>
              <w:rPr>
                <w:b/>
                <w:bCs/>
              </w:rPr>
            </w:pPr>
            <w:r>
              <w:rPr>
                <w:b/>
                <w:bCs/>
              </w:rPr>
              <w:t>4.6.4 Setbacks of New Buildings</w:t>
            </w:r>
          </w:p>
        </w:tc>
        <w:tc>
          <w:tcPr>
            <w:tcW w:w="5103" w:type="dxa"/>
            <w:shd w:val="clear" w:color="auto" w:fill="B7B7B9" w:themeFill="accent2" w:themeFillTint="66"/>
          </w:tcPr>
          <w:p w14:paraId="725CFA43" w14:textId="77777777" w:rsidR="0008159C" w:rsidRDefault="0008159C" w:rsidP="0008159C">
            <w:pPr>
              <w:pStyle w:val="TableText"/>
            </w:pPr>
          </w:p>
        </w:tc>
        <w:tc>
          <w:tcPr>
            <w:tcW w:w="4931" w:type="dxa"/>
            <w:shd w:val="clear" w:color="auto" w:fill="B7B7B9" w:themeFill="accent2" w:themeFillTint="66"/>
          </w:tcPr>
          <w:p w14:paraId="73F9D832" w14:textId="77777777" w:rsidR="0008159C" w:rsidRDefault="0008159C" w:rsidP="0008159C">
            <w:pPr>
              <w:pStyle w:val="TableText"/>
            </w:pPr>
          </w:p>
        </w:tc>
      </w:tr>
      <w:tr w:rsidR="0008159C" w14:paraId="72AF1CA5" w14:textId="77777777" w:rsidTr="00FA4E31">
        <w:tc>
          <w:tcPr>
            <w:tcW w:w="4536" w:type="dxa"/>
            <w:shd w:val="clear" w:color="auto" w:fill="FFFFFF" w:themeFill="background1"/>
          </w:tcPr>
          <w:p w14:paraId="0DDF34B1" w14:textId="6EB91FA3" w:rsidR="0008159C" w:rsidRPr="00732A31" w:rsidRDefault="0008159C" w:rsidP="0008159C">
            <w:pPr>
              <w:pStyle w:val="TableText"/>
            </w:pPr>
            <w:r w:rsidRPr="00732A31">
              <w:lastRenderedPageBreak/>
              <w:t>a) New buildings shall not obstruct important views or vistas to buildings and places of historic and aesthetic significance.</w:t>
            </w:r>
          </w:p>
        </w:tc>
        <w:tc>
          <w:tcPr>
            <w:tcW w:w="5103" w:type="dxa"/>
            <w:shd w:val="clear" w:color="auto" w:fill="FFFFFF" w:themeFill="background1"/>
          </w:tcPr>
          <w:p w14:paraId="46F51323" w14:textId="544C0D55" w:rsidR="0008159C" w:rsidRDefault="0008159C" w:rsidP="0008159C">
            <w:pPr>
              <w:pStyle w:val="TableText"/>
            </w:pPr>
            <w:r>
              <w:t>There are restricted view lines to the heritage items due to the dominant two storey commercial building at 257 Crawford Street that has nil front and side setbacks. The removal of the commercial building at 257 Crawford Street (subject to a separate DA) and establishment of an open public plaza will improve view lines to both the former fire station and Dutton’s Cottage.</w:t>
            </w:r>
          </w:p>
        </w:tc>
        <w:tc>
          <w:tcPr>
            <w:tcW w:w="4931" w:type="dxa"/>
            <w:shd w:val="clear" w:color="auto" w:fill="FFFFFF" w:themeFill="background1"/>
          </w:tcPr>
          <w:p w14:paraId="3722E7C9" w14:textId="77777777" w:rsidR="0008159C" w:rsidRDefault="0008159C" w:rsidP="0008159C">
            <w:pPr>
              <w:pStyle w:val="TableText"/>
              <w:rPr>
                <w:b/>
                <w:bCs/>
              </w:rPr>
            </w:pPr>
            <w:r>
              <w:rPr>
                <w:b/>
                <w:bCs/>
              </w:rPr>
              <w:t>Complies</w:t>
            </w:r>
          </w:p>
          <w:p w14:paraId="42EBFF54" w14:textId="77168CC2" w:rsidR="0008159C" w:rsidRDefault="0008159C" w:rsidP="0008159C">
            <w:pPr>
              <w:pStyle w:val="TableText"/>
            </w:pPr>
          </w:p>
        </w:tc>
      </w:tr>
      <w:tr w:rsidR="0008159C" w14:paraId="762A2138" w14:textId="77777777" w:rsidTr="00FA4E31">
        <w:tc>
          <w:tcPr>
            <w:tcW w:w="4536" w:type="dxa"/>
            <w:shd w:val="clear" w:color="auto" w:fill="FFFFFF" w:themeFill="background1"/>
          </w:tcPr>
          <w:p w14:paraId="6561DE87" w14:textId="0BE29C5A" w:rsidR="0008159C" w:rsidRPr="00732A31" w:rsidRDefault="0008159C" w:rsidP="0008159C">
            <w:pPr>
              <w:pStyle w:val="TableText"/>
            </w:pPr>
            <w:r w:rsidRPr="00732A31">
              <w:t>b) In residential areas the front setback of the new building should be greater than the adjacent heritage building so that the heritage building remains prominent within the streetscape.</w:t>
            </w:r>
          </w:p>
        </w:tc>
        <w:tc>
          <w:tcPr>
            <w:tcW w:w="5103" w:type="dxa"/>
            <w:shd w:val="clear" w:color="auto" w:fill="FFFFFF" w:themeFill="background1"/>
          </w:tcPr>
          <w:p w14:paraId="76A2BD0D" w14:textId="1FFD4ACE" w:rsidR="0008159C" w:rsidRDefault="0008159C" w:rsidP="0008159C">
            <w:pPr>
              <w:pStyle w:val="TableText"/>
            </w:pPr>
            <w:r>
              <w:t>-</w:t>
            </w:r>
          </w:p>
        </w:tc>
        <w:tc>
          <w:tcPr>
            <w:tcW w:w="4931" w:type="dxa"/>
            <w:shd w:val="clear" w:color="auto" w:fill="FFFFFF" w:themeFill="background1"/>
          </w:tcPr>
          <w:p w14:paraId="5C3B9E06" w14:textId="7410FBCC" w:rsidR="0008159C" w:rsidRPr="0008159C" w:rsidRDefault="0008159C" w:rsidP="0008159C">
            <w:pPr>
              <w:pStyle w:val="TableText"/>
              <w:rPr>
                <w:b/>
                <w:bCs/>
              </w:rPr>
            </w:pPr>
            <w:r w:rsidRPr="0008159C">
              <w:rPr>
                <w:b/>
                <w:bCs/>
              </w:rPr>
              <w:t xml:space="preserve">Not applicable </w:t>
            </w:r>
          </w:p>
        </w:tc>
      </w:tr>
      <w:tr w:rsidR="0008159C" w14:paraId="2982218D" w14:textId="77777777" w:rsidTr="005D5906">
        <w:tc>
          <w:tcPr>
            <w:tcW w:w="4536" w:type="dxa"/>
            <w:tcBorders>
              <w:bottom w:val="single" w:sz="4" w:space="0" w:color="4E4E50" w:themeColor="accent2"/>
            </w:tcBorders>
            <w:shd w:val="clear" w:color="auto" w:fill="FFFFFF" w:themeFill="background1"/>
          </w:tcPr>
          <w:p w14:paraId="7D8057F1" w14:textId="4E42495E" w:rsidR="0008159C" w:rsidRPr="00732A31" w:rsidRDefault="0008159C" w:rsidP="0008159C">
            <w:pPr>
              <w:pStyle w:val="TableText"/>
            </w:pPr>
            <w:r w:rsidRPr="00732A31">
              <w:t>c) Side, front and rear setbacks of new buildings shall be increased where new development is higher than the heritage place or likely to have an adverse impact on its character, amenity or setting by virtue of its height, scale or bulk</w:t>
            </w:r>
            <w:r>
              <w:t>.</w:t>
            </w:r>
          </w:p>
        </w:tc>
        <w:tc>
          <w:tcPr>
            <w:tcW w:w="5103" w:type="dxa"/>
            <w:tcBorders>
              <w:bottom w:val="single" w:sz="4" w:space="0" w:color="4E4E50" w:themeColor="accent2"/>
            </w:tcBorders>
            <w:shd w:val="clear" w:color="auto" w:fill="FFFFFF" w:themeFill="background1"/>
          </w:tcPr>
          <w:p w14:paraId="3FBABA07" w14:textId="3BEE5E87" w:rsidR="0008159C" w:rsidRDefault="0008159C" w:rsidP="0008159C">
            <w:pPr>
              <w:pStyle w:val="TableText"/>
            </w:pPr>
            <w:r>
              <w:t>The setback from the former Fire Station is equivalent to the driveways separating other buildings in the streetscape, and provides public shared-zone access to the rear of the block.</w:t>
            </w:r>
          </w:p>
        </w:tc>
        <w:tc>
          <w:tcPr>
            <w:tcW w:w="4931" w:type="dxa"/>
            <w:tcBorders>
              <w:bottom w:val="single" w:sz="4" w:space="0" w:color="4E4E50" w:themeColor="accent2"/>
            </w:tcBorders>
            <w:shd w:val="clear" w:color="auto" w:fill="FFFFFF" w:themeFill="background1"/>
          </w:tcPr>
          <w:p w14:paraId="5E9F2A04" w14:textId="77777777" w:rsidR="0008159C" w:rsidRDefault="0008159C" w:rsidP="0008159C">
            <w:pPr>
              <w:pStyle w:val="TableText"/>
              <w:rPr>
                <w:b/>
                <w:bCs/>
              </w:rPr>
            </w:pPr>
            <w:r>
              <w:rPr>
                <w:b/>
                <w:bCs/>
              </w:rPr>
              <w:t>Complies</w:t>
            </w:r>
          </w:p>
          <w:p w14:paraId="797F7395" w14:textId="77777777" w:rsidR="0008159C" w:rsidRDefault="0008159C" w:rsidP="0008159C">
            <w:pPr>
              <w:pStyle w:val="TableText"/>
            </w:pPr>
          </w:p>
        </w:tc>
      </w:tr>
      <w:tr w:rsidR="0008159C" w14:paraId="75065E3C" w14:textId="77777777" w:rsidTr="005D5906">
        <w:tc>
          <w:tcPr>
            <w:tcW w:w="4536" w:type="dxa"/>
            <w:shd w:val="clear" w:color="auto" w:fill="949496" w:themeFill="accent2" w:themeFillTint="99"/>
          </w:tcPr>
          <w:p w14:paraId="166A5483" w14:textId="1DC08C9D" w:rsidR="0008159C" w:rsidRPr="005D5906" w:rsidRDefault="0008159C" w:rsidP="0008159C">
            <w:pPr>
              <w:pStyle w:val="TableText"/>
              <w:rPr>
                <w:b/>
                <w:bCs/>
              </w:rPr>
            </w:pPr>
            <w:r>
              <w:rPr>
                <w:b/>
                <w:bCs/>
              </w:rPr>
              <w:t xml:space="preserve">4.7 Demolition – Not applicable </w:t>
            </w:r>
          </w:p>
        </w:tc>
        <w:tc>
          <w:tcPr>
            <w:tcW w:w="5103" w:type="dxa"/>
            <w:shd w:val="clear" w:color="auto" w:fill="949496" w:themeFill="accent2" w:themeFillTint="99"/>
          </w:tcPr>
          <w:p w14:paraId="0838F5D7" w14:textId="77777777" w:rsidR="0008159C" w:rsidRDefault="0008159C" w:rsidP="0008159C">
            <w:pPr>
              <w:pStyle w:val="TableText"/>
            </w:pPr>
          </w:p>
        </w:tc>
        <w:tc>
          <w:tcPr>
            <w:tcW w:w="4931" w:type="dxa"/>
            <w:shd w:val="clear" w:color="auto" w:fill="949496" w:themeFill="accent2" w:themeFillTint="99"/>
          </w:tcPr>
          <w:p w14:paraId="0C3C0131" w14:textId="77777777" w:rsidR="0008159C" w:rsidRDefault="0008159C" w:rsidP="0008159C">
            <w:pPr>
              <w:pStyle w:val="TableText"/>
            </w:pPr>
          </w:p>
        </w:tc>
      </w:tr>
      <w:tr w:rsidR="0008159C" w14:paraId="32C1FD6D" w14:textId="77777777" w:rsidTr="005D5906">
        <w:tc>
          <w:tcPr>
            <w:tcW w:w="4536" w:type="dxa"/>
            <w:shd w:val="clear" w:color="auto" w:fill="949496" w:themeFill="accent2" w:themeFillTint="99"/>
          </w:tcPr>
          <w:p w14:paraId="45D68BDB" w14:textId="5C0925B9" w:rsidR="0008159C" w:rsidRPr="005D5906" w:rsidRDefault="0008159C" w:rsidP="0008159C">
            <w:pPr>
              <w:pStyle w:val="TableText"/>
              <w:rPr>
                <w:b/>
                <w:bCs/>
              </w:rPr>
            </w:pPr>
            <w:r w:rsidRPr="005D5906">
              <w:rPr>
                <w:b/>
                <w:bCs/>
              </w:rPr>
              <w:t>4.8 Change of Use</w:t>
            </w:r>
            <w:r>
              <w:rPr>
                <w:b/>
                <w:bCs/>
              </w:rPr>
              <w:t xml:space="preserve"> – Not applicable </w:t>
            </w:r>
          </w:p>
        </w:tc>
        <w:tc>
          <w:tcPr>
            <w:tcW w:w="5103" w:type="dxa"/>
            <w:shd w:val="clear" w:color="auto" w:fill="949496" w:themeFill="accent2" w:themeFillTint="99"/>
          </w:tcPr>
          <w:p w14:paraId="52C021DB" w14:textId="65F92384" w:rsidR="0008159C" w:rsidRDefault="0008159C" w:rsidP="0008159C">
            <w:pPr>
              <w:pStyle w:val="TableText"/>
            </w:pPr>
          </w:p>
        </w:tc>
        <w:tc>
          <w:tcPr>
            <w:tcW w:w="4931" w:type="dxa"/>
            <w:shd w:val="clear" w:color="auto" w:fill="949496" w:themeFill="accent2" w:themeFillTint="99"/>
          </w:tcPr>
          <w:p w14:paraId="2FDFAB79" w14:textId="77777777" w:rsidR="0008159C" w:rsidRDefault="0008159C" w:rsidP="0008159C">
            <w:pPr>
              <w:pStyle w:val="TableText"/>
            </w:pPr>
          </w:p>
        </w:tc>
      </w:tr>
      <w:tr w:rsidR="0008159C" w14:paraId="0FBDFAD2" w14:textId="77777777" w:rsidTr="005D5906">
        <w:tc>
          <w:tcPr>
            <w:tcW w:w="4536" w:type="dxa"/>
            <w:shd w:val="clear" w:color="auto" w:fill="949496" w:themeFill="accent2" w:themeFillTint="99"/>
          </w:tcPr>
          <w:p w14:paraId="2C78FC8F" w14:textId="31429C17" w:rsidR="0008159C" w:rsidRPr="005D5906" w:rsidRDefault="0008159C" w:rsidP="0008159C">
            <w:pPr>
              <w:pStyle w:val="TableText"/>
              <w:rPr>
                <w:b/>
                <w:bCs/>
              </w:rPr>
            </w:pPr>
            <w:r>
              <w:rPr>
                <w:b/>
                <w:bCs/>
              </w:rPr>
              <w:t>4.9 Subdivision of Land</w:t>
            </w:r>
          </w:p>
        </w:tc>
        <w:tc>
          <w:tcPr>
            <w:tcW w:w="5103" w:type="dxa"/>
            <w:shd w:val="clear" w:color="auto" w:fill="949496" w:themeFill="accent2" w:themeFillTint="99"/>
          </w:tcPr>
          <w:p w14:paraId="387DCF71" w14:textId="77777777" w:rsidR="0008159C" w:rsidRDefault="0008159C" w:rsidP="0008159C">
            <w:pPr>
              <w:pStyle w:val="TableText"/>
            </w:pPr>
          </w:p>
        </w:tc>
        <w:tc>
          <w:tcPr>
            <w:tcW w:w="4931" w:type="dxa"/>
            <w:shd w:val="clear" w:color="auto" w:fill="949496" w:themeFill="accent2" w:themeFillTint="99"/>
          </w:tcPr>
          <w:p w14:paraId="4D8C058E" w14:textId="77777777" w:rsidR="0008159C" w:rsidRDefault="0008159C" w:rsidP="0008159C">
            <w:pPr>
              <w:pStyle w:val="TableText"/>
            </w:pPr>
          </w:p>
        </w:tc>
      </w:tr>
      <w:tr w:rsidR="0008159C" w14:paraId="44B05ABC" w14:textId="77777777" w:rsidTr="00FA4E31">
        <w:tc>
          <w:tcPr>
            <w:tcW w:w="4536" w:type="dxa"/>
            <w:shd w:val="clear" w:color="auto" w:fill="FFFFFF" w:themeFill="background1"/>
          </w:tcPr>
          <w:p w14:paraId="096F4E04" w14:textId="6474B03A" w:rsidR="0008159C" w:rsidRPr="005D5906" w:rsidRDefault="0008159C" w:rsidP="0008159C">
            <w:pPr>
              <w:pStyle w:val="TableText"/>
            </w:pPr>
            <w:r w:rsidRPr="005D5906">
              <w:t>a) Subdivision should be consistent with the predominant historic subdivision pattern in the locality or street.</w:t>
            </w:r>
          </w:p>
        </w:tc>
        <w:tc>
          <w:tcPr>
            <w:tcW w:w="5103" w:type="dxa"/>
            <w:shd w:val="clear" w:color="auto" w:fill="FFFFFF" w:themeFill="background1"/>
          </w:tcPr>
          <w:p w14:paraId="0E10B571" w14:textId="7CEB6ED9" w:rsidR="0008159C" w:rsidRDefault="0008159C" w:rsidP="0008159C">
            <w:pPr>
              <w:pStyle w:val="TableText"/>
            </w:pPr>
            <w:r>
              <w:t>The proposed changes to the subdivision further consolidate small blocks into larger blocks, facilitating a larger scale of development where Crawford Street has historically supported a fine grain of small individual buildings.</w:t>
            </w:r>
          </w:p>
        </w:tc>
        <w:tc>
          <w:tcPr>
            <w:tcW w:w="4931" w:type="dxa"/>
            <w:shd w:val="clear" w:color="auto" w:fill="FFFFFF" w:themeFill="background1"/>
          </w:tcPr>
          <w:p w14:paraId="123364A7" w14:textId="77777777" w:rsidR="0008159C" w:rsidRPr="00266A89" w:rsidRDefault="0008159C" w:rsidP="0008159C">
            <w:pPr>
              <w:pStyle w:val="TableText"/>
              <w:rPr>
                <w:b/>
                <w:bCs/>
              </w:rPr>
            </w:pPr>
            <w:r w:rsidRPr="00266A89">
              <w:rPr>
                <w:b/>
                <w:bCs/>
              </w:rPr>
              <w:t xml:space="preserve">Justified inconsistency </w:t>
            </w:r>
          </w:p>
          <w:p w14:paraId="320D5631" w14:textId="29D14BD5" w:rsidR="0008159C" w:rsidRDefault="0008159C" w:rsidP="0008159C">
            <w:pPr>
              <w:pStyle w:val="TableText"/>
            </w:pPr>
            <w:r>
              <w:t xml:space="preserve">The proposed consolidation of blocks </w:t>
            </w:r>
            <w:r w:rsidR="00964B54">
              <w:t xml:space="preserve">and large frontage across Crawford Street is balanced with the width of existing and proposed structures. The proposed building has a similar width to the adjacent School of Arts building and includes visual breaks to punctuate the streetscape and identify separate buildings.  </w:t>
            </w:r>
          </w:p>
        </w:tc>
      </w:tr>
      <w:tr w:rsidR="0008159C" w14:paraId="36C77C50" w14:textId="77777777" w:rsidTr="00FA4E31">
        <w:tc>
          <w:tcPr>
            <w:tcW w:w="4536" w:type="dxa"/>
            <w:shd w:val="clear" w:color="auto" w:fill="FFFFFF" w:themeFill="background1"/>
          </w:tcPr>
          <w:p w14:paraId="1E7FB7A4" w14:textId="09A380DF" w:rsidR="0008159C" w:rsidRPr="005D5906" w:rsidRDefault="0008159C" w:rsidP="0008159C">
            <w:pPr>
              <w:pStyle w:val="TableText"/>
            </w:pPr>
            <w:r w:rsidRPr="005D5906">
              <w:t xml:space="preserve">b) Battleaxe subdivision is not appropriate for listed items or places within the Conservation Area as it leads to a concentration of driveways </w:t>
            </w:r>
            <w:r w:rsidRPr="005D5906">
              <w:lastRenderedPageBreak/>
              <w:t>that is inconsistent with the historic subdivision pattern.</w:t>
            </w:r>
          </w:p>
        </w:tc>
        <w:tc>
          <w:tcPr>
            <w:tcW w:w="5103" w:type="dxa"/>
            <w:shd w:val="clear" w:color="auto" w:fill="FFFFFF" w:themeFill="background1"/>
          </w:tcPr>
          <w:p w14:paraId="24B4D4F0" w14:textId="44E8289F" w:rsidR="0008159C" w:rsidRDefault="0008159C" w:rsidP="0008159C">
            <w:pPr>
              <w:pStyle w:val="TableText"/>
            </w:pPr>
          </w:p>
        </w:tc>
        <w:tc>
          <w:tcPr>
            <w:tcW w:w="4931" w:type="dxa"/>
            <w:shd w:val="clear" w:color="auto" w:fill="FFFFFF" w:themeFill="background1"/>
          </w:tcPr>
          <w:p w14:paraId="11CBE38A" w14:textId="77777777" w:rsidR="0008159C" w:rsidRPr="00266A89" w:rsidRDefault="0008159C" w:rsidP="0008159C">
            <w:pPr>
              <w:pStyle w:val="TableText"/>
              <w:rPr>
                <w:b/>
                <w:bCs/>
              </w:rPr>
            </w:pPr>
            <w:r w:rsidRPr="00266A89">
              <w:rPr>
                <w:b/>
                <w:bCs/>
              </w:rPr>
              <w:t>Not applicable</w:t>
            </w:r>
          </w:p>
          <w:p w14:paraId="4859C42B" w14:textId="31A241C8" w:rsidR="0008159C" w:rsidRDefault="0008159C" w:rsidP="0008159C">
            <w:pPr>
              <w:pStyle w:val="TableText"/>
            </w:pPr>
            <w:r>
              <w:lastRenderedPageBreak/>
              <w:t xml:space="preserve">The proposal seeks to consolidate 5 lots into a single lot. </w:t>
            </w:r>
          </w:p>
        </w:tc>
      </w:tr>
      <w:tr w:rsidR="0008159C" w14:paraId="3FA94DB9" w14:textId="77777777" w:rsidTr="00FA4E31">
        <w:tc>
          <w:tcPr>
            <w:tcW w:w="4536" w:type="dxa"/>
            <w:shd w:val="clear" w:color="auto" w:fill="FFFFFF" w:themeFill="background1"/>
          </w:tcPr>
          <w:p w14:paraId="40D882B0" w14:textId="4B89EA95" w:rsidR="0008159C" w:rsidRPr="005D5906" w:rsidRDefault="0008159C" w:rsidP="0008159C">
            <w:pPr>
              <w:pStyle w:val="TableText"/>
            </w:pPr>
            <w:r w:rsidRPr="005D5906">
              <w:lastRenderedPageBreak/>
              <w:t>c) Subdivision in rural areas should retain a suitably sized curtilage surrounding the heritage item.</w:t>
            </w:r>
          </w:p>
        </w:tc>
        <w:tc>
          <w:tcPr>
            <w:tcW w:w="5103" w:type="dxa"/>
            <w:shd w:val="clear" w:color="auto" w:fill="FFFFFF" w:themeFill="background1"/>
          </w:tcPr>
          <w:p w14:paraId="4D1A62EB" w14:textId="196B329B" w:rsidR="0008159C" w:rsidRDefault="0008159C" w:rsidP="0008159C">
            <w:pPr>
              <w:pStyle w:val="TableText"/>
            </w:pPr>
          </w:p>
        </w:tc>
        <w:tc>
          <w:tcPr>
            <w:tcW w:w="4931" w:type="dxa"/>
            <w:shd w:val="clear" w:color="auto" w:fill="FFFFFF" w:themeFill="background1"/>
          </w:tcPr>
          <w:p w14:paraId="30DA14E5" w14:textId="77777777" w:rsidR="0008159C" w:rsidRPr="00266A89" w:rsidRDefault="0008159C" w:rsidP="0008159C">
            <w:pPr>
              <w:pStyle w:val="TableText"/>
              <w:rPr>
                <w:b/>
                <w:bCs/>
              </w:rPr>
            </w:pPr>
            <w:r w:rsidRPr="00266A89">
              <w:rPr>
                <w:b/>
                <w:bCs/>
              </w:rPr>
              <w:t>Not applicable</w:t>
            </w:r>
          </w:p>
          <w:p w14:paraId="0851A811" w14:textId="66E66C6A" w:rsidR="0008159C" w:rsidRDefault="0008159C" w:rsidP="0008159C">
            <w:pPr>
              <w:pStyle w:val="TableText"/>
            </w:pPr>
          </w:p>
        </w:tc>
      </w:tr>
      <w:tr w:rsidR="0008159C" w14:paraId="22654DE1" w14:textId="77777777" w:rsidTr="00FA4E31">
        <w:tc>
          <w:tcPr>
            <w:tcW w:w="4536" w:type="dxa"/>
            <w:shd w:val="clear" w:color="auto" w:fill="FFFFFF" w:themeFill="background1"/>
          </w:tcPr>
          <w:p w14:paraId="3EA023ED" w14:textId="0FCFC630" w:rsidR="0008159C" w:rsidRPr="005D5906" w:rsidRDefault="0008159C" w:rsidP="0008159C">
            <w:pPr>
              <w:pStyle w:val="TableText"/>
            </w:pPr>
            <w:r w:rsidRPr="005D5906">
              <w:t xml:space="preserve">d) Subdivision should not lead to, or have the potential to result in, a degradation of the heritage values of items or streetscapes.  </w:t>
            </w:r>
          </w:p>
        </w:tc>
        <w:tc>
          <w:tcPr>
            <w:tcW w:w="5103" w:type="dxa"/>
            <w:shd w:val="clear" w:color="auto" w:fill="FFFFFF" w:themeFill="background1"/>
          </w:tcPr>
          <w:p w14:paraId="208F1A09" w14:textId="00E9592D" w:rsidR="0008159C" w:rsidRDefault="0008159C" w:rsidP="0008159C">
            <w:pPr>
              <w:pStyle w:val="TableText"/>
            </w:pPr>
            <w:r>
              <w:t>Changes to side and rear boundaries as a result of subdivision is likely to impact on the curtilage of the former Fire Station.</w:t>
            </w:r>
          </w:p>
        </w:tc>
        <w:tc>
          <w:tcPr>
            <w:tcW w:w="4931" w:type="dxa"/>
            <w:shd w:val="clear" w:color="auto" w:fill="FFFFFF" w:themeFill="background1"/>
          </w:tcPr>
          <w:p w14:paraId="4E904D52" w14:textId="77777777" w:rsidR="00964B54" w:rsidRDefault="00964B54" w:rsidP="00964B54">
            <w:pPr>
              <w:pStyle w:val="TableText"/>
              <w:rPr>
                <w:b/>
                <w:bCs/>
              </w:rPr>
            </w:pPr>
            <w:r>
              <w:rPr>
                <w:b/>
                <w:bCs/>
              </w:rPr>
              <w:t>Complies</w:t>
            </w:r>
          </w:p>
          <w:p w14:paraId="2CE68411" w14:textId="10F31E6E" w:rsidR="0008159C" w:rsidRDefault="00964B54" w:rsidP="00964B54">
            <w:pPr>
              <w:pStyle w:val="TableText"/>
            </w:pPr>
            <w:r>
              <w:t>The Heritage referral is noted requesting greater separation from the fire station and restricted use of the service lane.</w:t>
            </w:r>
          </w:p>
        </w:tc>
      </w:tr>
      <w:tr w:rsidR="0008159C" w14:paraId="0765A7F5" w14:textId="77777777" w:rsidTr="006C00F9">
        <w:tc>
          <w:tcPr>
            <w:tcW w:w="4536" w:type="dxa"/>
            <w:tcBorders>
              <w:bottom w:val="single" w:sz="4" w:space="0" w:color="4E4E50" w:themeColor="accent2"/>
            </w:tcBorders>
            <w:shd w:val="clear" w:color="auto" w:fill="FFFFFF" w:themeFill="background1"/>
          </w:tcPr>
          <w:p w14:paraId="6D021E2F" w14:textId="1CCF1205" w:rsidR="0008159C" w:rsidRPr="005D5906" w:rsidRDefault="0008159C" w:rsidP="0008159C">
            <w:pPr>
              <w:pStyle w:val="TableText"/>
            </w:pPr>
            <w:r w:rsidRPr="005D5906">
              <w:t>e) Proposed subdivision should be preceded by a heritage impact statement that identifies all heritage and landscape attributes and shows how the proposal will respect the significance of the heritage item.</w:t>
            </w:r>
          </w:p>
        </w:tc>
        <w:tc>
          <w:tcPr>
            <w:tcW w:w="5103" w:type="dxa"/>
            <w:tcBorders>
              <w:bottom w:val="single" w:sz="4" w:space="0" w:color="4E4E50" w:themeColor="accent2"/>
            </w:tcBorders>
            <w:shd w:val="clear" w:color="auto" w:fill="FFFFFF" w:themeFill="background1"/>
          </w:tcPr>
          <w:p w14:paraId="054CE3F1" w14:textId="608A1A1A" w:rsidR="0008159C" w:rsidRDefault="0008159C" w:rsidP="0008159C">
            <w:pPr>
              <w:pStyle w:val="TableText"/>
            </w:pPr>
            <w:r>
              <w:t>Heritage Impact Statement included at Appendix G.</w:t>
            </w:r>
          </w:p>
        </w:tc>
        <w:tc>
          <w:tcPr>
            <w:tcW w:w="4931" w:type="dxa"/>
            <w:tcBorders>
              <w:bottom w:val="single" w:sz="4" w:space="0" w:color="4E4E50" w:themeColor="accent2"/>
            </w:tcBorders>
            <w:shd w:val="clear" w:color="auto" w:fill="FFFFFF" w:themeFill="background1"/>
          </w:tcPr>
          <w:p w14:paraId="71D1598F" w14:textId="1AA58D39" w:rsidR="0008159C" w:rsidRPr="00964B54" w:rsidRDefault="0008159C" w:rsidP="0008159C">
            <w:pPr>
              <w:pStyle w:val="TableText"/>
              <w:rPr>
                <w:b/>
                <w:bCs/>
              </w:rPr>
            </w:pPr>
            <w:r w:rsidRPr="00964B54">
              <w:rPr>
                <w:b/>
                <w:bCs/>
              </w:rPr>
              <w:t>Complies</w:t>
            </w:r>
          </w:p>
        </w:tc>
      </w:tr>
      <w:tr w:rsidR="0008159C" w14:paraId="65A138C3" w14:textId="77777777" w:rsidTr="006C00F9">
        <w:tc>
          <w:tcPr>
            <w:tcW w:w="14570" w:type="dxa"/>
            <w:gridSpan w:val="3"/>
            <w:tcBorders>
              <w:bottom w:val="single" w:sz="4" w:space="0" w:color="4E4E50" w:themeColor="accent2"/>
            </w:tcBorders>
            <w:shd w:val="clear" w:color="auto" w:fill="949496" w:themeFill="accent2" w:themeFillTint="99"/>
          </w:tcPr>
          <w:p w14:paraId="6CC8924B" w14:textId="0C33A23C" w:rsidR="0008159C" w:rsidRDefault="0008159C" w:rsidP="0008159C">
            <w:pPr>
              <w:pStyle w:val="TableText"/>
            </w:pPr>
            <w:r w:rsidRPr="00964B54">
              <w:rPr>
                <w:b/>
                <w:bCs/>
              </w:rPr>
              <w:t>Part 6 - Central Business District and Other Business Zones</w:t>
            </w:r>
          </w:p>
        </w:tc>
      </w:tr>
      <w:tr w:rsidR="0008159C" w14:paraId="2D80091A" w14:textId="77777777" w:rsidTr="006C00F9">
        <w:tc>
          <w:tcPr>
            <w:tcW w:w="4536" w:type="dxa"/>
            <w:tcBorders>
              <w:bottom w:val="single" w:sz="4" w:space="0" w:color="4E4E50" w:themeColor="accent2"/>
            </w:tcBorders>
            <w:shd w:val="clear" w:color="auto" w:fill="949496" w:themeFill="accent2" w:themeFillTint="99"/>
          </w:tcPr>
          <w:p w14:paraId="5CCC1434" w14:textId="5FB1FBA6" w:rsidR="0008159C" w:rsidRPr="006C00F9" w:rsidRDefault="0008159C" w:rsidP="0008159C">
            <w:pPr>
              <w:pStyle w:val="TableText"/>
              <w:rPr>
                <w:b/>
                <w:bCs/>
              </w:rPr>
            </w:pPr>
            <w:r w:rsidRPr="006C00F9">
              <w:rPr>
                <w:b/>
                <w:bCs/>
              </w:rPr>
              <w:t>6.2 Building Form within the CBD</w:t>
            </w:r>
          </w:p>
        </w:tc>
        <w:tc>
          <w:tcPr>
            <w:tcW w:w="5103" w:type="dxa"/>
            <w:tcBorders>
              <w:bottom w:val="single" w:sz="4" w:space="0" w:color="4E4E50" w:themeColor="accent2"/>
            </w:tcBorders>
            <w:shd w:val="clear" w:color="auto" w:fill="949496" w:themeFill="accent2" w:themeFillTint="99"/>
          </w:tcPr>
          <w:p w14:paraId="1C2FFFF6" w14:textId="77777777" w:rsidR="0008159C" w:rsidRDefault="0008159C" w:rsidP="0008159C">
            <w:pPr>
              <w:pStyle w:val="TableText"/>
            </w:pPr>
          </w:p>
        </w:tc>
        <w:tc>
          <w:tcPr>
            <w:tcW w:w="4931" w:type="dxa"/>
            <w:tcBorders>
              <w:bottom w:val="single" w:sz="4" w:space="0" w:color="4E4E50" w:themeColor="accent2"/>
            </w:tcBorders>
            <w:shd w:val="clear" w:color="auto" w:fill="949496" w:themeFill="accent2" w:themeFillTint="99"/>
          </w:tcPr>
          <w:p w14:paraId="787B4E84" w14:textId="77777777" w:rsidR="0008159C" w:rsidRDefault="0008159C" w:rsidP="0008159C">
            <w:pPr>
              <w:pStyle w:val="TableText"/>
            </w:pPr>
          </w:p>
        </w:tc>
      </w:tr>
      <w:tr w:rsidR="0008159C" w14:paraId="2CB5AF9B" w14:textId="77777777" w:rsidTr="006C00F9">
        <w:tc>
          <w:tcPr>
            <w:tcW w:w="4536" w:type="dxa"/>
            <w:shd w:val="clear" w:color="auto" w:fill="B7B7B9" w:themeFill="accent2" w:themeFillTint="66"/>
          </w:tcPr>
          <w:p w14:paraId="2B1B3F13" w14:textId="63886876" w:rsidR="0008159C" w:rsidRPr="006C00F9" w:rsidRDefault="0008159C" w:rsidP="0008159C">
            <w:pPr>
              <w:pStyle w:val="TableText"/>
              <w:rPr>
                <w:b/>
                <w:bCs/>
              </w:rPr>
            </w:pPr>
            <w:r w:rsidRPr="006C00F9">
              <w:rPr>
                <w:b/>
                <w:bCs/>
              </w:rPr>
              <w:t>6.2</w:t>
            </w:r>
            <w:r>
              <w:rPr>
                <w:b/>
                <w:bCs/>
              </w:rPr>
              <w:t>.1</w:t>
            </w:r>
            <w:r w:rsidRPr="006C00F9">
              <w:rPr>
                <w:b/>
                <w:bCs/>
              </w:rPr>
              <w:t xml:space="preserve"> Site Design and Sense of Place</w:t>
            </w:r>
          </w:p>
        </w:tc>
        <w:tc>
          <w:tcPr>
            <w:tcW w:w="5103" w:type="dxa"/>
            <w:shd w:val="clear" w:color="auto" w:fill="B7B7B9" w:themeFill="accent2" w:themeFillTint="66"/>
          </w:tcPr>
          <w:p w14:paraId="4F4F7E10" w14:textId="77777777" w:rsidR="0008159C" w:rsidRDefault="0008159C" w:rsidP="0008159C">
            <w:pPr>
              <w:pStyle w:val="TableText"/>
            </w:pPr>
          </w:p>
        </w:tc>
        <w:tc>
          <w:tcPr>
            <w:tcW w:w="4931" w:type="dxa"/>
            <w:shd w:val="clear" w:color="auto" w:fill="B7B7B9" w:themeFill="accent2" w:themeFillTint="66"/>
          </w:tcPr>
          <w:p w14:paraId="37A41490" w14:textId="77777777" w:rsidR="0008159C" w:rsidRDefault="0008159C" w:rsidP="0008159C">
            <w:pPr>
              <w:pStyle w:val="TableText"/>
            </w:pPr>
          </w:p>
        </w:tc>
      </w:tr>
      <w:tr w:rsidR="0008159C" w14:paraId="713CDC38" w14:textId="77777777" w:rsidTr="00FA4E31">
        <w:tc>
          <w:tcPr>
            <w:tcW w:w="4536" w:type="dxa"/>
            <w:shd w:val="clear" w:color="auto" w:fill="FFFFFF" w:themeFill="background1"/>
          </w:tcPr>
          <w:p w14:paraId="5A5BD6FE" w14:textId="176C2210" w:rsidR="0008159C" w:rsidRPr="005D5906" w:rsidRDefault="0008159C" w:rsidP="0008159C">
            <w:pPr>
              <w:pStyle w:val="TableText"/>
            </w:pPr>
            <w:r>
              <w:t>a) Buildings are appropriately designed to respond to their site and surroundings</w:t>
            </w:r>
          </w:p>
        </w:tc>
        <w:tc>
          <w:tcPr>
            <w:tcW w:w="5103" w:type="dxa"/>
            <w:vMerge w:val="restart"/>
            <w:shd w:val="clear" w:color="auto" w:fill="FFFFFF" w:themeFill="background1"/>
          </w:tcPr>
          <w:p w14:paraId="615D0B51" w14:textId="77777777" w:rsidR="0008159C" w:rsidRDefault="0008159C" w:rsidP="0008159C">
            <w:pPr>
              <w:pStyle w:val="TableText"/>
            </w:pPr>
            <w:r>
              <w:t xml:space="preserve">The proposed public plaza and public administration building will create a forecourt for The Q and an improved pedestrian link from Crawford Street to the Queanbeyan showground. This area will be a key focus of civic and town activity. </w:t>
            </w:r>
          </w:p>
          <w:p w14:paraId="1053A44B" w14:textId="01D70384" w:rsidR="0008159C" w:rsidRDefault="0008159C" w:rsidP="0008159C">
            <w:pPr>
              <w:pStyle w:val="TableText"/>
            </w:pPr>
            <w:r>
              <w:t xml:space="preserve">The civic public plaza will provide facilities for use by the community and will assist activation of the public plaza after hours. </w:t>
            </w:r>
          </w:p>
        </w:tc>
        <w:tc>
          <w:tcPr>
            <w:tcW w:w="4931" w:type="dxa"/>
            <w:shd w:val="clear" w:color="auto" w:fill="FFFFFF" w:themeFill="background1"/>
          </w:tcPr>
          <w:p w14:paraId="6AD055FD" w14:textId="77777777" w:rsidR="0008159C" w:rsidRPr="00266A89" w:rsidRDefault="0008159C" w:rsidP="0008159C">
            <w:pPr>
              <w:pStyle w:val="TableText"/>
              <w:rPr>
                <w:b/>
                <w:bCs/>
              </w:rPr>
            </w:pPr>
            <w:r w:rsidRPr="00266A89">
              <w:rPr>
                <w:b/>
                <w:bCs/>
              </w:rPr>
              <w:t xml:space="preserve">Complies. </w:t>
            </w:r>
          </w:p>
          <w:p w14:paraId="73D298CD" w14:textId="33DAF715" w:rsidR="0008159C" w:rsidRDefault="0008159C" w:rsidP="0008159C">
            <w:pPr>
              <w:pStyle w:val="TableText"/>
            </w:pPr>
            <w:r>
              <w:t xml:space="preserve">The proposed building has a high-quality design that responds to its prominent location and role. </w:t>
            </w:r>
          </w:p>
        </w:tc>
      </w:tr>
      <w:tr w:rsidR="0008159C" w14:paraId="1ED413B3" w14:textId="77777777" w:rsidTr="00FA4E31">
        <w:tc>
          <w:tcPr>
            <w:tcW w:w="4536" w:type="dxa"/>
            <w:shd w:val="clear" w:color="auto" w:fill="FFFFFF" w:themeFill="background1"/>
          </w:tcPr>
          <w:p w14:paraId="1F63C580" w14:textId="04C85934" w:rsidR="0008159C" w:rsidRPr="005D5906" w:rsidRDefault="0008159C" w:rsidP="0008159C">
            <w:pPr>
              <w:pStyle w:val="TableText"/>
            </w:pPr>
            <w:r>
              <w:t>b) New development in nearby locations is to contribute to the creation of a civic precinct centred around the Council administrative centre in Crawford Street and the Queanbeyan Performing Arts Centre.</w:t>
            </w:r>
          </w:p>
        </w:tc>
        <w:tc>
          <w:tcPr>
            <w:tcW w:w="5103" w:type="dxa"/>
            <w:vMerge/>
            <w:shd w:val="clear" w:color="auto" w:fill="FFFFFF" w:themeFill="background1"/>
          </w:tcPr>
          <w:p w14:paraId="519C76B9" w14:textId="77777777" w:rsidR="0008159C" w:rsidRDefault="0008159C" w:rsidP="0008159C">
            <w:pPr>
              <w:pStyle w:val="TableText"/>
            </w:pPr>
          </w:p>
        </w:tc>
        <w:tc>
          <w:tcPr>
            <w:tcW w:w="4931" w:type="dxa"/>
            <w:shd w:val="clear" w:color="auto" w:fill="FFFFFF" w:themeFill="background1"/>
          </w:tcPr>
          <w:p w14:paraId="10A5DBEA" w14:textId="77777777" w:rsidR="0008159C" w:rsidRPr="00266A89" w:rsidRDefault="0008159C" w:rsidP="0008159C">
            <w:pPr>
              <w:pStyle w:val="TableText"/>
              <w:rPr>
                <w:b/>
                <w:bCs/>
              </w:rPr>
            </w:pPr>
            <w:r w:rsidRPr="00266A89">
              <w:rPr>
                <w:b/>
                <w:bCs/>
              </w:rPr>
              <w:t>Complies.</w:t>
            </w:r>
          </w:p>
          <w:p w14:paraId="7A836C06" w14:textId="0B80919D" w:rsidR="0008159C" w:rsidRDefault="0008159C" w:rsidP="0008159C">
            <w:pPr>
              <w:pStyle w:val="TableText"/>
            </w:pPr>
            <w:r>
              <w:t>The main role of the proposed building is public administration and a hub for community activities. It proposes to established a central civic square and forecourt to provide spaces for people to engage in public life.</w:t>
            </w:r>
          </w:p>
        </w:tc>
      </w:tr>
      <w:tr w:rsidR="0008159C" w14:paraId="417A10F8" w14:textId="77777777" w:rsidTr="00FA4E31">
        <w:tc>
          <w:tcPr>
            <w:tcW w:w="4536" w:type="dxa"/>
            <w:shd w:val="clear" w:color="auto" w:fill="FFFFFF" w:themeFill="background1"/>
          </w:tcPr>
          <w:p w14:paraId="42C13A96" w14:textId="58C09276" w:rsidR="0008159C" w:rsidRPr="005D5906" w:rsidRDefault="0008159C" w:rsidP="0008159C">
            <w:pPr>
              <w:pStyle w:val="TableText"/>
            </w:pPr>
            <w:r>
              <w:t>c) ‘Gateway’ development is provided at nominated locations at the entry points to Queanbeyan from the north, east, and west.</w:t>
            </w:r>
          </w:p>
        </w:tc>
        <w:tc>
          <w:tcPr>
            <w:tcW w:w="5103" w:type="dxa"/>
            <w:vMerge/>
            <w:shd w:val="clear" w:color="auto" w:fill="FFFFFF" w:themeFill="background1"/>
          </w:tcPr>
          <w:p w14:paraId="09F15F72" w14:textId="77777777" w:rsidR="0008159C" w:rsidRDefault="0008159C" w:rsidP="0008159C">
            <w:pPr>
              <w:pStyle w:val="TableText"/>
            </w:pPr>
          </w:p>
        </w:tc>
        <w:tc>
          <w:tcPr>
            <w:tcW w:w="4931" w:type="dxa"/>
            <w:shd w:val="clear" w:color="auto" w:fill="FFFFFF" w:themeFill="background1"/>
          </w:tcPr>
          <w:p w14:paraId="6A0BF2B8" w14:textId="77777777" w:rsidR="0008159C" w:rsidRPr="003A7DE2" w:rsidRDefault="0008159C" w:rsidP="0008159C">
            <w:pPr>
              <w:pStyle w:val="TableText"/>
              <w:rPr>
                <w:b/>
                <w:bCs/>
              </w:rPr>
            </w:pPr>
            <w:r w:rsidRPr="003A7DE2">
              <w:rPr>
                <w:b/>
                <w:bCs/>
              </w:rPr>
              <w:t>Justified inconsistency</w:t>
            </w:r>
          </w:p>
          <w:p w14:paraId="0BE73F75" w14:textId="2D356EF7" w:rsidR="0008159C" w:rsidRDefault="0008159C" w:rsidP="0008159C">
            <w:pPr>
              <w:pStyle w:val="TableText"/>
            </w:pPr>
            <w:r>
              <w:t xml:space="preserve">The subject site is not identified for a ‘gateway’ development. However, the proposal is considered to represent outstanding architectural merit and is </w:t>
            </w:r>
            <w:r>
              <w:lastRenderedPageBreak/>
              <w:t xml:space="preserve">generally consistent with building height controls that its location outside a ‘gateway’ development site is considered appropriate. </w:t>
            </w:r>
          </w:p>
        </w:tc>
      </w:tr>
      <w:tr w:rsidR="0008159C" w14:paraId="39150AA0" w14:textId="77777777" w:rsidTr="00FA4E31">
        <w:tc>
          <w:tcPr>
            <w:tcW w:w="4536" w:type="dxa"/>
            <w:shd w:val="clear" w:color="auto" w:fill="FFFFFF" w:themeFill="background1"/>
          </w:tcPr>
          <w:p w14:paraId="44E15B9E" w14:textId="2334FF20" w:rsidR="0008159C" w:rsidRPr="005D5906" w:rsidRDefault="0008159C" w:rsidP="0008159C">
            <w:pPr>
              <w:pStyle w:val="TableText"/>
            </w:pPr>
            <w:r>
              <w:lastRenderedPageBreak/>
              <w:t>d) Landmark development is encouraged at key or prominent locations, including southeast corner of Lowe and Monaro Streets; north-west corner of Morisset and Collett Streets; Collett Street frontage to Rutledge Street Car Park.</w:t>
            </w:r>
          </w:p>
        </w:tc>
        <w:tc>
          <w:tcPr>
            <w:tcW w:w="5103" w:type="dxa"/>
            <w:vMerge/>
            <w:shd w:val="clear" w:color="auto" w:fill="FFFFFF" w:themeFill="background1"/>
          </w:tcPr>
          <w:p w14:paraId="1484902C" w14:textId="77777777" w:rsidR="0008159C" w:rsidRDefault="0008159C" w:rsidP="0008159C">
            <w:pPr>
              <w:pStyle w:val="TableText"/>
            </w:pPr>
          </w:p>
        </w:tc>
        <w:tc>
          <w:tcPr>
            <w:tcW w:w="4931" w:type="dxa"/>
            <w:shd w:val="clear" w:color="auto" w:fill="FFFFFF" w:themeFill="background1"/>
          </w:tcPr>
          <w:p w14:paraId="5A1726DD" w14:textId="77777777" w:rsidR="0008159C" w:rsidRPr="00266A89" w:rsidRDefault="0008159C" w:rsidP="0008159C">
            <w:pPr>
              <w:pStyle w:val="TableText"/>
              <w:rPr>
                <w:b/>
                <w:bCs/>
              </w:rPr>
            </w:pPr>
            <w:r w:rsidRPr="00266A89">
              <w:rPr>
                <w:b/>
                <w:bCs/>
              </w:rPr>
              <w:t>Complies.</w:t>
            </w:r>
          </w:p>
          <w:p w14:paraId="3C9B9E4F" w14:textId="17B4994B" w:rsidR="0008159C" w:rsidRDefault="0008159C" w:rsidP="0008159C">
            <w:pPr>
              <w:pStyle w:val="TableText"/>
            </w:pPr>
            <w:r>
              <w:t>The proposed development is considered a landmark building and will be prominent in terms of height and scale</w:t>
            </w:r>
            <w:r w:rsidR="00171EF9">
              <w:t>.</w:t>
            </w:r>
            <w:r>
              <w:t xml:space="preserve"> </w:t>
            </w:r>
          </w:p>
        </w:tc>
      </w:tr>
      <w:tr w:rsidR="0008159C" w14:paraId="34B1B89F" w14:textId="77777777" w:rsidTr="00FA4E31">
        <w:tc>
          <w:tcPr>
            <w:tcW w:w="4536" w:type="dxa"/>
            <w:shd w:val="clear" w:color="auto" w:fill="FFFFFF" w:themeFill="background1"/>
          </w:tcPr>
          <w:p w14:paraId="1EFD376F" w14:textId="55659206" w:rsidR="0008159C" w:rsidRPr="005D5906" w:rsidRDefault="0008159C" w:rsidP="0008159C">
            <w:pPr>
              <w:pStyle w:val="TableText"/>
            </w:pPr>
            <w:r>
              <w:t>e) Vehicular routes, movements, and speeds (especially heavy vehicles) are managed to support high pedestrian amenity, particularly on Crawford, Monaro, and Morisset Streets.</w:t>
            </w:r>
          </w:p>
        </w:tc>
        <w:tc>
          <w:tcPr>
            <w:tcW w:w="5103" w:type="dxa"/>
            <w:vMerge/>
            <w:shd w:val="clear" w:color="auto" w:fill="FFFFFF" w:themeFill="background1"/>
          </w:tcPr>
          <w:p w14:paraId="73447091" w14:textId="77777777" w:rsidR="0008159C" w:rsidRDefault="0008159C" w:rsidP="0008159C">
            <w:pPr>
              <w:pStyle w:val="TableText"/>
            </w:pPr>
          </w:p>
        </w:tc>
        <w:tc>
          <w:tcPr>
            <w:tcW w:w="4931" w:type="dxa"/>
            <w:shd w:val="clear" w:color="auto" w:fill="FFFFFF" w:themeFill="background1"/>
          </w:tcPr>
          <w:p w14:paraId="3F0B7B35" w14:textId="77777777" w:rsidR="0008159C" w:rsidRPr="00266A89" w:rsidRDefault="0008159C" w:rsidP="0008159C">
            <w:pPr>
              <w:pStyle w:val="TableText"/>
              <w:rPr>
                <w:b/>
                <w:bCs/>
              </w:rPr>
            </w:pPr>
            <w:r w:rsidRPr="00266A89">
              <w:rPr>
                <w:b/>
                <w:bCs/>
              </w:rPr>
              <w:t xml:space="preserve">Complies. </w:t>
            </w:r>
          </w:p>
          <w:p w14:paraId="239F6350" w14:textId="6C347F55" w:rsidR="0008159C" w:rsidRDefault="0008159C" w:rsidP="0008159C">
            <w:pPr>
              <w:pStyle w:val="TableText"/>
            </w:pPr>
            <w:r>
              <w:t xml:space="preserve">The proposed development creates a high level of pedestrian amenity. At grade vehicle movements are limited to service laneways and public lanes with low speed limits. </w:t>
            </w:r>
          </w:p>
        </w:tc>
      </w:tr>
      <w:tr w:rsidR="0008159C" w14:paraId="382C8432" w14:textId="77777777" w:rsidTr="00FA4E31">
        <w:tc>
          <w:tcPr>
            <w:tcW w:w="4536" w:type="dxa"/>
            <w:shd w:val="clear" w:color="auto" w:fill="FFFFFF" w:themeFill="background1"/>
          </w:tcPr>
          <w:p w14:paraId="2D466C7F" w14:textId="575EDC45" w:rsidR="0008159C" w:rsidRPr="005D5906" w:rsidRDefault="0008159C" w:rsidP="0008159C">
            <w:pPr>
              <w:pStyle w:val="TableText"/>
            </w:pPr>
            <w:r>
              <w:t>f) New development contributes to upgrades and updating of existing civic spaces.</w:t>
            </w:r>
          </w:p>
        </w:tc>
        <w:tc>
          <w:tcPr>
            <w:tcW w:w="5103" w:type="dxa"/>
            <w:vMerge/>
            <w:shd w:val="clear" w:color="auto" w:fill="FFFFFF" w:themeFill="background1"/>
          </w:tcPr>
          <w:p w14:paraId="01BCFE6F" w14:textId="77777777" w:rsidR="0008159C" w:rsidRDefault="0008159C" w:rsidP="0008159C">
            <w:pPr>
              <w:pStyle w:val="TableText"/>
            </w:pPr>
          </w:p>
        </w:tc>
        <w:tc>
          <w:tcPr>
            <w:tcW w:w="4931" w:type="dxa"/>
            <w:shd w:val="clear" w:color="auto" w:fill="FFFFFF" w:themeFill="background1"/>
          </w:tcPr>
          <w:p w14:paraId="1357ABAA" w14:textId="77777777" w:rsidR="0008159C" w:rsidRPr="00266A89" w:rsidRDefault="0008159C" w:rsidP="0008159C">
            <w:pPr>
              <w:pStyle w:val="TableText"/>
              <w:rPr>
                <w:b/>
                <w:bCs/>
              </w:rPr>
            </w:pPr>
            <w:r w:rsidRPr="00266A89">
              <w:rPr>
                <w:b/>
                <w:bCs/>
              </w:rPr>
              <w:t>Complies.</w:t>
            </w:r>
          </w:p>
          <w:p w14:paraId="4A79A7F0" w14:textId="1AF0E355" w:rsidR="0008159C" w:rsidRDefault="0008159C" w:rsidP="0008159C">
            <w:pPr>
              <w:pStyle w:val="TableText"/>
            </w:pPr>
            <w:r>
              <w:t>The proposal seeks to established a central civic square and forecourt to provide spaces for people to engage in public life.</w:t>
            </w:r>
          </w:p>
        </w:tc>
      </w:tr>
      <w:tr w:rsidR="0008159C" w14:paraId="61EB9304" w14:textId="77777777" w:rsidTr="006C00F9">
        <w:tc>
          <w:tcPr>
            <w:tcW w:w="4536" w:type="dxa"/>
            <w:tcBorders>
              <w:bottom w:val="single" w:sz="4" w:space="0" w:color="4E4E50" w:themeColor="accent2"/>
            </w:tcBorders>
            <w:shd w:val="clear" w:color="auto" w:fill="FFFFFF" w:themeFill="background1"/>
          </w:tcPr>
          <w:p w14:paraId="55EC42E2" w14:textId="7E424BA8" w:rsidR="0008159C" w:rsidRPr="005D5906" w:rsidRDefault="0008159C" w:rsidP="0008159C">
            <w:pPr>
              <w:pStyle w:val="TableText"/>
            </w:pPr>
            <w:r>
              <w:t>g) Crawford Street (between Morisset and Monaro) and Collett Street, in addition to Monaro Street become a key focus of town activity.</w:t>
            </w:r>
          </w:p>
        </w:tc>
        <w:tc>
          <w:tcPr>
            <w:tcW w:w="5103" w:type="dxa"/>
            <w:vMerge/>
            <w:tcBorders>
              <w:bottom w:val="single" w:sz="4" w:space="0" w:color="4E4E50" w:themeColor="accent2"/>
            </w:tcBorders>
            <w:shd w:val="clear" w:color="auto" w:fill="FFFFFF" w:themeFill="background1"/>
          </w:tcPr>
          <w:p w14:paraId="63CEAE91"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7F2B0EC5" w14:textId="77777777" w:rsidR="0008159C" w:rsidRPr="00266A89" w:rsidRDefault="0008159C" w:rsidP="0008159C">
            <w:pPr>
              <w:pStyle w:val="TableText"/>
              <w:rPr>
                <w:b/>
                <w:bCs/>
              </w:rPr>
            </w:pPr>
            <w:r w:rsidRPr="00266A89">
              <w:rPr>
                <w:b/>
                <w:bCs/>
              </w:rPr>
              <w:t xml:space="preserve">Not applicable. </w:t>
            </w:r>
          </w:p>
          <w:p w14:paraId="0B0BE20C" w14:textId="39606EBB" w:rsidR="0008159C" w:rsidRDefault="0008159C" w:rsidP="0008159C">
            <w:pPr>
              <w:pStyle w:val="TableText"/>
            </w:pPr>
            <w:r>
              <w:t xml:space="preserve">The proposed development is located outside the relevant are of Queanbeyan CBD. It reinforces the civic hub established by the Council Chambers, Bicentennial Hall and The Q Theatre. </w:t>
            </w:r>
          </w:p>
        </w:tc>
      </w:tr>
      <w:tr w:rsidR="0008159C" w14:paraId="13973FD5" w14:textId="77777777" w:rsidTr="00BB78AD">
        <w:tc>
          <w:tcPr>
            <w:tcW w:w="14570" w:type="dxa"/>
            <w:gridSpan w:val="3"/>
            <w:shd w:val="clear" w:color="auto" w:fill="B7B7B9" w:themeFill="accent2" w:themeFillTint="66"/>
          </w:tcPr>
          <w:p w14:paraId="3363B804" w14:textId="5434C1FF" w:rsidR="0008159C" w:rsidRDefault="0008159C" w:rsidP="0008159C">
            <w:pPr>
              <w:pStyle w:val="TableText"/>
            </w:pPr>
            <w:r>
              <w:rPr>
                <w:b/>
                <w:bCs/>
              </w:rPr>
              <w:t>6.2.2 Building Height Limits and Setbacks Design for Buildings</w:t>
            </w:r>
          </w:p>
        </w:tc>
      </w:tr>
      <w:tr w:rsidR="0008159C" w14:paraId="71B72652" w14:textId="77777777" w:rsidTr="00FA4E31">
        <w:tc>
          <w:tcPr>
            <w:tcW w:w="4536" w:type="dxa"/>
            <w:shd w:val="clear" w:color="auto" w:fill="FFFFFF" w:themeFill="background1"/>
          </w:tcPr>
          <w:p w14:paraId="1EE33C79" w14:textId="56DA0548" w:rsidR="0008159C" w:rsidRPr="006C00F9" w:rsidRDefault="0008159C" w:rsidP="0008159C">
            <w:pPr>
              <w:pStyle w:val="TableText"/>
              <w:rPr>
                <w:b/>
                <w:bCs/>
              </w:rPr>
            </w:pPr>
            <w:r>
              <w:t>a) Building heights shall comply with the Height of Buildings Map – Sheet HOB_005 of Queanbeyan Local Environmental Plan 2012 as well as the following.</w:t>
            </w:r>
          </w:p>
        </w:tc>
        <w:tc>
          <w:tcPr>
            <w:tcW w:w="5103" w:type="dxa"/>
            <w:shd w:val="clear" w:color="auto" w:fill="FFFFFF" w:themeFill="background1"/>
          </w:tcPr>
          <w:p w14:paraId="4C575F44" w14:textId="5530A640" w:rsidR="0008159C" w:rsidRDefault="0008159C" w:rsidP="0008159C">
            <w:pPr>
              <w:pStyle w:val="TableText"/>
            </w:pPr>
            <w:r>
              <w:t>The proposal does not comply with the maximum permitted building height of 30m under Clause 4.3 of the Queanbeyan LEP. The building sections demonstrate that the building has a height of 32.97m as measured from the existing ground level to the top of the plant room, representing the highest point of the building.</w:t>
            </w:r>
          </w:p>
          <w:p w14:paraId="0E93C0C2" w14:textId="380A19C2" w:rsidR="0008159C" w:rsidRDefault="0008159C" w:rsidP="0008159C">
            <w:pPr>
              <w:pStyle w:val="TableText"/>
            </w:pPr>
          </w:p>
        </w:tc>
        <w:tc>
          <w:tcPr>
            <w:tcW w:w="4931" w:type="dxa"/>
            <w:shd w:val="clear" w:color="auto" w:fill="FFFFFF" w:themeFill="background1"/>
          </w:tcPr>
          <w:p w14:paraId="31AFBE26" w14:textId="2E2F1005" w:rsidR="0008159C" w:rsidRPr="003A7DE2" w:rsidRDefault="0008159C" w:rsidP="0008159C">
            <w:pPr>
              <w:pStyle w:val="TableText"/>
              <w:rPr>
                <w:b/>
                <w:bCs/>
              </w:rPr>
            </w:pPr>
            <w:r>
              <w:rPr>
                <w:b/>
                <w:bCs/>
              </w:rPr>
              <w:t xml:space="preserve">Justified inconsistency </w:t>
            </w:r>
          </w:p>
          <w:p w14:paraId="3AFF6AB0" w14:textId="475761FD" w:rsidR="0008159C" w:rsidRDefault="0008159C" w:rsidP="0008159C">
            <w:pPr>
              <w:pStyle w:val="TableText"/>
            </w:pPr>
            <w:r>
              <w:t xml:space="preserve">The proposal provides sufficient environmental grounds and demonstrates cohesiveness with the objectives of Clause 4.3 of the QLEP 2012 as </w:t>
            </w:r>
            <w:r w:rsidR="00983A34">
              <w:t xml:space="preserve">discussed in the LEP assessment. </w:t>
            </w:r>
          </w:p>
          <w:p w14:paraId="55567AF0" w14:textId="016C69DE" w:rsidR="008608FC" w:rsidRDefault="008608FC" w:rsidP="0008159C">
            <w:pPr>
              <w:pStyle w:val="TableText"/>
            </w:pPr>
            <w:r>
              <w:t>The proposal seeks justification to exceed the height limit using Clause 4.6 to vary the development standard.</w:t>
            </w:r>
          </w:p>
        </w:tc>
      </w:tr>
      <w:tr w:rsidR="0008159C" w14:paraId="3FD4723A" w14:textId="77777777" w:rsidTr="00FA4E31">
        <w:tc>
          <w:tcPr>
            <w:tcW w:w="4536" w:type="dxa"/>
            <w:shd w:val="clear" w:color="auto" w:fill="FFFFFF" w:themeFill="background1"/>
          </w:tcPr>
          <w:p w14:paraId="11A60D00" w14:textId="2549DE14" w:rsidR="0008159C" w:rsidRDefault="0008159C" w:rsidP="0008159C">
            <w:pPr>
              <w:pStyle w:val="TableText"/>
            </w:pPr>
            <w:r>
              <w:lastRenderedPageBreak/>
              <w:t>b) Ground and first floor levels (floor to ceilings) have a minimum height of 3.3m for potential future changes in use.</w:t>
            </w:r>
          </w:p>
        </w:tc>
        <w:tc>
          <w:tcPr>
            <w:tcW w:w="5103" w:type="dxa"/>
            <w:shd w:val="clear" w:color="auto" w:fill="FFFFFF" w:themeFill="background1"/>
          </w:tcPr>
          <w:p w14:paraId="4B85A80C" w14:textId="77777777" w:rsidR="0008159C" w:rsidRDefault="0008159C" w:rsidP="0008159C">
            <w:pPr>
              <w:pStyle w:val="TableText"/>
            </w:pPr>
            <w:r>
              <w:t>Ground and first floor ceiling height 4.13m and 3.9m.</w:t>
            </w:r>
          </w:p>
          <w:p w14:paraId="2A4D6CC7" w14:textId="77777777" w:rsidR="0008159C" w:rsidRDefault="0008159C" w:rsidP="0008159C">
            <w:pPr>
              <w:pStyle w:val="TableText"/>
            </w:pPr>
          </w:p>
        </w:tc>
        <w:tc>
          <w:tcPr>
            <w:tcW w:w="4931" w:type="dxa"/>
            <w:shd w:val="clear" w:color="auto" w:fill="FFFFFF" w:themeFill="background1"/>
          </w:tcPr>
          <w:p w14:paraId="5D56F533" w14:textId="77777777" w:rsidR="0008159C" w:rsidRPr="003A7DE2" w:rsidRDefault="0008159C" w:rsidP="0008159C">
            <w:pPr>
              <w:pStyle w:val="TableText"/>
              <w:rPr>
                <w:b/>
                <w:bCs/>
              </w:rPr>
            </w:pPr>
            <w:r w:rsidRPr="003A7DE2">
              <w:rPr>
                <w:b/>
                <w:bCs/>
              </w:rPr>
              <w:t>Complies</w:t>
            </w:r>
          </w:p>
          <w:p w14:paraId="7752D579" w14:textId="1D338A8D" w:rsidR="0008159C" w:rsidRDefault="0008159C" w:rsidP="0008159C">
            <w:pPr>
              <w:pStyle w:val="TableText"/>
            </w:pPr>
          </w:p>
        </w:tc>
      </w:tr>
      <w:tr w:rsidR="0008159C" w14:paraId="0796AE4E" w14:textId="77777777" w:rsidTr="00FA4E31">
        <w:tc>
          <w:tcPr>
            <w:tcW w:w="4536" w:type="dxa"/>
            <w:shd w:val="clear" w:color="auto" w:fill="FFFFFF" w:themeFill="background1"/>
          </w:tcPr>
          <w:p w14:paraId="388710FB" w14:textId="678B6FB6" w:rsidR="0008159C" w:rsidRDefault="0008159C" w:rsidP="0008159C">
            <w:pPr>
              <w:pStyle w:val="TableText"/>
            </w:pPr>
            <w:r>
              <w:t>c) All other levels have minimum floor to ceiling heights of 2.7m.</w:t>
            </w:r>
          </w:p>
        </w:tc>
        <w:tc>
          <w:tcPr>
            <w:tcW w:w="5103" w:type="dxa"/>
            <w:shd w:val="clear" w:color="auto" w:fill="FFFFFF" w:themeFill="background1"/>
          </w:tcPr>
          <w:p w14:paraId="558610E2" w14:textId="77777777" w:rsidR="0008159C" w:rsidRDefault="0008159C" w:rsidP="0008159C">
            <w:pPr>
              <w:pStyle w:val="TableText"/>
            </w:pPr>
            <w:r>
              <w:t>Other floors minimum of 3.8m.</w:t>
            </w:r>
          </w:p>
          <w:p w14:paraId="30A3447A" w14:textId="77777777" w:rsidR="0008159C" w:rsidRDefault="0008159C" w:rsidP="0008159C">
            <w:pPr>
              <w:pStyle w:val="TableText"/>
            </w:pPr>
          </w:p>
        </w:tc>
        <w:tc>
          <w:tcPr>
            <w:tcW w:w="4931" w:type="dxa"/>
            <w:shd w:val="clear" w:color="auto" w:fill="FFFFFF" w:themeFill="background1"/>
          </w:tcPr>
          <w:p w14:paraId="444B209B" w14:textId="77777777" w:rsidR="0008159C" w:rsidRPr="003A7DE2" w:rsidRDefault="0008159C" w:rsidP="0008159C">
            <w:pPr>
              <w:pStyle w:val="TableText"/>
              <w:rPr>
                <w:b/>
                <w:bCs/>
              </w:rPr>
            </w:pPr>
            <w:r w:rsidRPr="003A7DE2">
              <w:rPr>
                <w:b/>
                <w:bCs/>
              </w:rPr>
              <w:t>Complies</w:t>
            </w:r>
          </w:p>
          <w:p w14:paraId="0286C741" w14:textId="6C098549" w:rsidR="0008159C" w:rsidRDefault="0008159C" w:rsidP="0008159C">
            <w:pPr>
              <w:pStyle w:val="TableText"/>
            </w:pPr>
          </w:p>
        </w:tc>
      </w:tr>
      <w:tr w:rsidR="0008159C" w14:paraId="283A6160" w14:textId="77777777" w:rsidTr="00FA4E31">
        <w:tc>
          <w:tcPr>
            <w:tcW w:w="4536" w:type="dxa"/>
            <w:shd w:val="clear" w:color="auto" w:fill="FFFFFF" w:themeFill="background1"/>
          </w:tcPr>
          <w:p w14:paraId="1B7D6DD4" w14:textId="6684B91D" w:rsidR="0008159C" w:rsidRDefault="0008159C" w:rsidP="0008159C">
            <w:pPr>
              <w:pStyle w:val="TableText"/>
            </w:pPr>
            <w:r>
              <w:t>d) Buildings in the CBD (Monaro Street and Crawford Street) maintain a visual perception of 2 storey development along the street frontages with defined podiums no higher than 2 storeys (allowing for additional roofline articulation).</w:t>
            </w:r>
          </w:p>
        </w:tc>
        <w:tc>
          <w:tcPr>
            <w:tcW w:w="5103" w:type="dxa"/>
            <w:shd w:val="clear" w:color="auto" w:fill="FFFFFF" w:themeFill="background1"/>
          </w:tcPr>
          <w:p w14:paraId="35EB202E" w14:textId="1F12B80D" w:rsidR="0008159C" w:rsidRDefault="0008159C" w:rsidP="0008159C">
            <w:pPr>
              <w:pStyle w:val="TableText"/>
            </w:pPr>
            <w:r>
              <w:t>The proposed development adopts a pedestrian scale to Crawford Street by providing an 14m setback above two storeys</w:t>
            </w:r>
          </w:p>
        </w:tc>
        <w:tc>
          <w:tcPr>
            <w:tcW w:w="4931" w:type="dxa"/>
            <w:shd w:val="clear" w:color="auto" w:fill="FFFFFF" w:themeFill="background1"/>
          </w:tcPr>
          <w:p w14:paraId="44E7C853" w14:textId="1D57B57E" w:rsidR="0008159C" w:rsidRPr="003A7DE2" w:rsidRDefault="0008159C" w:rsidP="0008159C">
            <w:pPr>
              <w:pStyle w:val="TableText"/>
              <w:rPr>
                <w:b/>
                <w:bCs/>
              </w:rPr>
            </w:pPr>
            <w:r>
              <w:rPr>
                <w:b/>
                <w:bCs/>
              </w:rPr>
              <w:t xml:space="preserve">Justified inconsistency </w:t>
            </w:r>
          </w:p>
          <w:p w14:paraId="183E471A" w14:textId="22CC9D07" w:rsidR="0008159C" w:rsidRDefault="0008159C" w:rsidP="0008159C">
            <w:pPr>
              <w:pStyle w:val="TableText"/>
            </w:pPr>
            <w:r>
              <w:t xml:space="preserve">Building height consistently presents as a 4 and 7 storeys on the Crawford Street frontage and does not include podiums to break up development. </w:t>
            </w:r>
          </w:p>
        </w:tc>
      </w:tr>
      <w:tr w:rsidR="0008159C" w14:paraId="757B3C60" w14:textId="77777777" w:rsidTr="00FA4E31">
        <w:tc>
          <w:tcPr>
            <w:tcW w:w="4536" w:type="dxa"/>
            <w:shd w:val="clear" w:color="auto" w:fill="FFFFFF" w:themeFill="background1"/>
          </w:tcPr>
          <w:p w14:paraId="28573BD3" w14:textId="33487A8C" w:rsidR="0008159C" w:rsidRDefault="0008159C" w:rsidP="0008159C">
            <w:pPr>
              <w:pStyle w:val="TableText"/>
            </w:pPr>
            <w:r>
              <w:t>e) Height and setback limits for specific areas are summarised in Table 1 and in Figures 1 to 4 below (See Clause 6.2.2 of Queanbeyan Development Control Plan 2012:</w:t>
            </w:r>
            <w:r w:rsidRPr="006C00F9">
              <w:rPr>
                <w:color w:val="auto"/>
              </w:rPr>
              <w:t xml:space="preserve"> </w:t>
            </w:r>
            <w:hyperlink r:id="rId9" w:anchor="section-3" w:history="1">
              <w:r w:rsidRPr="006C00F9">
                <w:rPr>
                  <w:color w:val="0000FF"/>
                  <w:u w:val="single"/>
                </w:rPr>
                <w:t>https://www.qprc.nsw.gov.au/Building-Development/Planning-Zoning/Planning-controls#section-3</w:t>
              </w:r>
            </w:hyperlink>
            <w:r>
              <w:rPr>
                <w:color w:val="auto"/>
              </w:rPr>
              <w:t>).</w:t>
            </w:r>
            <w:r>
              <w:t xml:space="preserve">  A development site fronting two or more specified areas will be limited in height and the maximum podium level to the lesser numerical standard applying between the areas.</w:t>
            </w:r>
          </w:p>
        </w:tc>
        <w:tc>
          <w:tcPr>
            <w:tcW w:w="5103" w:type="dxa"/>
            <w:shd w:val="clear" w:color="auto" w:fill="FFFFFF" w:themeFill="background1"/>
          </w:tcPr>
          <w:p w14:paraId="359EE3AC" w14:textId="039E9B5E" w:rsidR="0008159C" w:rsidRDefault="0008159C" w:rsidP="0008159C">
            <w:pPr>
              <w:pStyle w:val="TableText"/>
            </w:pPr>
            <w:r>
              <w:t>The ground and first floor of the proposed building is provided with a front setback from Crawford Street of 4.93 m where the Queanbeyan DCP requires a setback of 6m</w:t>
            </w:r>
          </w:p>
        </w:tc>
        <w:tc>
          <w:tcPr>
            <w:tcW w:w="4931" w:type="dxa"/>
            <w:shd w:val="clear" w:color="auto" w:fill="FFFFFF" w:themeFill="background1"/>
          </w:tcPr>
          <w:p w14:paraId="479763B2" w14:textId="5F9B2284" w:rsidR="0008159C" w:rsidRPr="003A7DE2" w:rsidRDefault="0008159C" w:rsidP="0008159C">
            <w:pPr>
              <w:pStyle w:val="TableText"/>
              <w:rPr>
                <w:b/>
                <w:bCs/>
              </w:rPr>
            </w:pPr>
            <w:r>
              <w:rPr>
                <w:b/>
                <w:bCs/>
              </w:rPr>
              <w:t>Justified inconsistency</w:t>
            </w:r>
          </w:p>
          <w:p w14:paraId="2B91050B" w14:textId="16F2A773" w:rsidR="0008159C" w:rsidRDefault="0008159C" w:rsidP="0008159C">
            <w:pPr>
              <w:pStyle w:val="TableText"/>
            </w:pPr>
            <w:r>
              <w:t>Variance is sought in regards to the nature of proposed ground floor uses and inconsistency of setbacks on Crawford Street.</w:t>
            </w:r>
          </w:p>
        </w:tc>
      </w:tr>
      <w:tr w:rsidR="0008159C" w14:paraId="371FB04B" w14:textId="77777777" w:rsidTr="00B359C9">
        <w:tc>
          <w:tcPr>
            <w:tcW w:w="4536" w:type="dxa"/>
            <w:tcBorders>
              <w:bottom w:val="single" w:sz="4" w:space="0" w:color="4E4E50" w:themeColor="accent2"/>
            </w:tcBorders>
            <w:shd w:val="clear" w:color="auto" w:fill="FFFFFF" w:themeFill="background1"/>
          </w:tcPr>
          <w:p w14:paraId="1A082592" w14:textId="06F4A710" w:rsidR="0008159C" w:rsidRDefault="0008159C" w:rsidP="0008159C">
            <w:pPr>
              <w:pStyle w:val="TableText"/>
            </w:pPr>
            <w:r>
              <w:t>f) Higher structures should be set well back to avoid overshadowing and impression of bulk.</w:t>
            </w:r>
          </w:p>
        </w:tc>
        <w:tc>
          <w:tcPr>
            <w:tcW w:w="5103" w:type="dxa"/>
            <w:tcBorders>
              <w:bottom w:val="single" w:sz="4" w:space="0" w:color="4E4E50" w:themeColor="accent2"/>
            </w:tcBorders>
            <w:shd w:val="clear" w:color="auto" w:fill="FFFFFF" w:themeFill="background1"/>
          </w:tcPr>
          <w:p w14:paraId="6374A323" w14:textId="77777777" w:rsidR="0008159C" w:rsidRDefault="0008159C" w:rsidP="0008159C">
            <w:pPr>
              <w:pStyle w:val="TableText"/>
            </w:pPr>
            <w:r>
              <w:t xml:space="preserve">Building is setback at the third floor to provide a pedestrian scale to Crawford Street. Overshadowing of buildings to the south along Crawford Street is somewhat unavoidable due to the orientation of the allotments. </w:t>
            </w:r>
          </w:p>
          <w:p w14:paraId="565EBA89" w14:textId="77777777" w:rsidR="0008159C" w:rsidRDefault="0008159C" w:rsidP="0008159C">
            <w:pPr>
              <w:pStyle w:val="TableText"/>
            </w:pPr>
            <w:r>
              <w:t xml:space="preserve">Refer to overshadowing section of likely impacts discussion below. </w:t>
            </w:r>
          </w:p>
          <w:p w14:paraId="459600DF"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26AC32A5" w14:textId="77777777" w:rsidR="0008159C" w:rsidRDefault="0008159C" w:rsidP="0008159C">
            <w:pPr>
              <w:pStyle w:val="TableText"/>
            </w:pPr>
          </w:p>
        </w:tc>
      </w:tr>
      <w:tr w:rsidR="0008159C" w14:paraId="5015E0A7" w14:textId="77777777" w:rsidTr="00B359C9">
        <w:tc>
          <w:tcPr>
            <w:tcW w:w="4536" w:type="dxa"/>
            <w:shd w:val="clear" w:color="auto" w:fill="B7B7B9" w:themeFill="accent2" w:themeFillTint="66"/>
          </w:tcPr>
          <w:p w14:paraId="1A824890" w14:textId="27A4DDE9" w:rsidR="0008159C" w:rsidRPr="00B359C9" w:rsidRDefault="0008159C" w:rsidP="0008159C">
            <w:pPr>
              <w:pStyle w:val="TableText"/>
              <w:rPr>
                <w:b/>
                <w:bCs/>
              </w:rPr>
            </w:pPr>
            <w:r>
              <w:rPr>
                <w:b/>
                <w:bCs/>
              </w:rPr>
              <w:t>6.2.3 Architectural Character</w:t>
            </w:r>
          </w:p>
        </w:tc>
        <w:tc>
          <w:tcPr>
            <w:tcW w:w="5103" w:type="dxa"/>
            <w:shd w:val="clear" w:color="auto" w:fill="B7B7B9" w:themeFill="accent2" w:themeFillTint="66"/>
          </w:tcPr>
          <w:p w14:paraId="13267C01" w14:textId="77777777" w:rsidR="0008159C" w:rsidRDefault="0008159C" w:rsidP="0008159C">
            <w:pPr>
              <w:pStyle w:val="TableText"/>
            </w:pPr>
          </w:p>
        </w:tc>
        <w:tc>
          <w:tcPr>
            <w:tcW w:w="4931" w:type="dxa"/>
            <w:shd w:val="clear" w:color="auto" w:fill="B7B7B9" w:themeFill="accent2" w:themeFillTint="66"/>
          </w:tcPr>
          <w:p w14:paraId="466FF4F9" w14:textId="77777777" w:rsidR="0008159C" w:rsidRDefault="0008159C" w:rsidP="0008159C">
            <w:pPr>
              <w:pStyle w:val="TableText"/>
            </w:pPr>
          </w:p>
        </w:tc>
      </w:tr>
      <w:tr w:rsidR="0008159C" w14:paraId="5BA5BA8A" w14:textId="77777777" w:rsidTr="00FA4E31">
        <w:tc>
          <w:tcPr>
            <w:tcW w:w="4536" w:type="dxa"/>
            <w:shd w:val="clear" w:color="auto" w:fill="FFFFFF" w:themeFill="background1"/>
          </w:tcPr>
          <w:p w14:paraId="2F962BE4" w14:textId="740BE50E" w:rsidR="0008159C" w:rsidRDefault="0008159C" w:rsidP="0008159C">
            <w:pPr>
              <w:pStyle w:val="TableText"/>
            </w:pPr>
            <w:r>
              <w:lastRenderedPageBreak/>
              <w:t>a) Horizontal elements are incorporated into the design of each level to give a sense of legible scale to the building.</w:t>
            </w:r>
          </w:p>
        </w:tc>
        <w:tc>
          <w:tcPr>
            <w:tcW w:w="5103" w:type="dxa"/>
            <w:shd w:val="clear" w:color="auto" w:fill="FFFFFF" w:themeFill="background1"/>
          </w:tcPr>
          <w:p w14:paraId="2F1E9D3A" w14:textId="45E02DE4" w:rsidR="0008159C" w:rsidRDefault="0008159C" w:rsidP="0008159C">
            <w:pPr>
              <w:pStyle w:val="TableText"/>
            </w:pPr>
            <w:r>
              <w:t>Horizontal articulation defines each floor of the development.</w:t>
            </w:r>
          </w:p>
        </w:tc>
        <w:tc>
          <w:tcPr>
            <w:tcW w:w="4931" w:type="dxa"/>
            <w:shd w:val="clear" w:color="auto" w:fill="FFFFFF" w:themeFill="background1"/>
          </w:tcPr>
          <w:p w14:paraId="28C63686" w14:textId="77777777" w:rsidR="0008159C" w:rsidRPr="00963F5E" w:rsidRDefault="0008159C" w:rsidP="0008159C">
            <w:pPr>
              <w:pStyle w:val="TableText"/>
              <w:rPr>
                <w:b/>
                <w:bCs/>
              </w:rPr>
            </w:pPr>
            <w:r w:rsidRPr="00963F5E">
              <w:rPr>
                <w:b/>
                <w:bCs/>
              </w:rPr>
              <w:t>Complies</w:t>
            </w:r>
          </w:p>
          <w:p w14:paraId="448273EA" w14:textId="6239D4DE" w:rsidR="0008159C" w:rsidRDefault="0008159C" w:rsidP="0008159C">
            <w:pPr>
              <w:pStyle w:val="TableText"/>
            </w:pPr>
            <w:r>
              <w:t>The proposal includes horizontal articulation between windows to indicate level changes.</w:t>
            </w:r>
          </w:p>
        </w:tc>
      </w:tr>
      <w:tr w:rsidR="0008159C" w14:paraId="37A4EDA8" w14:textId="77777777" w:rsidTr="00FA4E31">
        <w:tc>
          <w:tcPr>
            <w:tcW w:w="4536" w:type="dxa"/>
            <w:shd w:val="clear" w:color="auto" w:fill="FFFFFF" w:themeFill="background1"/>
          </w:tcPr>
          <w:p w14:paraId="1DAD4689" w14:textId="106D1D30" w:rsidR="0008159C" w:rsidRDefault="0008159C" w:rsidP="0008159C">
            <w:pPr>
              <w:pStyle w:val="TableText"/>
            </w:pPr>
            <w:r>
              <w:t>b) Openings such as windows are recessed rather than being on the same plane as the main façade. This provides depth and shadowing that adds to visual interest.</w:t>
            </w:r>
          </w:p>
        </w:tc>
        <w:tc>
          <w:tcPr>
            <w:tcW w:w="5103" w:type="dxa"/>
            <w:shd w:val="clear" w:color="auto" w:fill="FFFFFF" w:themeFill="background1"/>
          </w:tcPr>
          <w:p w14:paraId="1B77B1F1" w14:textId="77777777" w:rsidR="0008159C" w:rsidRDefault="0008159C" w:rsidP="0008159C">
            <w:pPr>
              <w:pStyle w:val="TableText"/>
            </w:pPr>
          </w:p>
        </w:tc>
        <w:tc>
          <w:tcPr>
            <w:tcW w:w="4931" w:type="dxa"/>
            <w:shd w:val="clear" w:color="auto" w:fill="FFFFFF" w:themeFill="background1"/>
          </w:tcPr>
          <w:p w14:paraId="41B64063" w14:textId="77777777" w:rsidR="0008159C" w:rsidRPr="00963F5E" w:rsidRDefault="0008159C" w:rsidP="0008159C">
            <w:pPr>
              <w:pStyle w:val="TableText"/>
              <w:rPr>
                <w:b/>
                <w:bCs/>
              </w:rPr>
            </w:pPr>
            <w:r w:rsidRPr="00963F5E">
              <w:rPr>
                <w:b/>
                <w:bCs/>
              </w:rPr>
              <w:t>Justified inconsistency</w:t>
            </w:r>
          </w:p>
          <w:p w14:paraId="59F2188E" w14:textId="09C4A1F7" w:rsidR="0008159C" w:rsidRDefault="0008159C" w:rsidP="0008159C">
            <w:pPr>
              <w:pStyle w:val="TableText"/>
            </w:pPr>
            <w:r>
              <w:t xml:space="preserve">Windows are generally on the same plane as the main façade, but are broken up with frames, louvres and sunshades. </w:t>
            </w:r>
          </w:p>
        </w:tc>
      </w:tr>
      <w:tr w:rsidR="0008159C" w14:paraId="2151B3AC" w14:textId="77777777" w:rsidTr="00FA4E31">
        <w:tc>
          <w:tcPr>
            <w:tcW w:w="4536" w:type="dxa"/>
            <w:shd w:val="clear" w:color="auto" w:fill="FFFFFF" w:themeFill="background1"/>
          </w:tcPr>
          <w:p w14:paraId="7B27D150" w14:textId="7F231341" w:rsidR="0008159C" w:rsidRDefault="0008159C" w:rsidP="0008159C">
            <w:pPr>
              <w:pStyle w:val="TableText"/>
            </w:pPr>
            <w:r>
              <w:t>c) Maximise glazing for retail uses, but break glazing into sections to avoid large expanses of glass.</w:t>
            </w:r>
          </w:p>
        </w:tc>
        <w:tc>
          <w:tcPr>
            <w:tcW w:w="5103" w:type="dxa"/>
            <w:shd w:val="clear" w:color="auto" w:fill="FFFFFF" w:themeFill="background1"/>
          </w:tcPr>
          <w:p w14:paraId="4195DBA8" w14:textId="37D9C5DF" w:rsidR="0008159C" w:rsidRDefault="0008159C" w:rsidP="0008159C">
            <w:pPr>
              <w:pStyle w:val="TableText"/>
            </w:pPr>
          </w:p>
        </w:tc>
        <w:tc>
          <w:tcPr>
            <w:tcW w:w="4931" w:type="dxa"/>
            <w:shd w:val="clear" w:color="auto" w:fill="FFFFFF" w:themeFill="background1"/>
          </w:tcPr>
          <w:p w14:paraId="7470E3E8" w14:textId="77777777" w:rsidR="0008159C" w:rsidRPr="00963F5E" w:rsidRDefault="0008159C" w:rsidP="0008159C">
            <w:pPr>
              <w:pStyle w:val="TableText"/>
              <w:rPr>
                <w:b/>
                <w:bCs/>
              </w:rPr>
            </w:pPr>
            <w:r w:rsidRPr="00963F5E">
              <w:rPr>
                <w:b/>
                <w:bCs/>
              </w:rPr>
              <w:t>Complies</w:t>
            </w:r>
          </w:p>
          <w:p w14:paraId="2D188922" w14:textId="4281AB03" w:rsidR="0008159C" w:rsidRDefault="0008159C" w:rsidP="0008159C">
            <w:pPr>
              <w:pStyle w:val="TableText"/>
            </w:pPr>
            <w:r>
              <w:t xml:space="preserve">The proposed development incorporates glazing at the ground floor to </w:t>
            </w:r>
            <w:r w:rsidR="00983A34">
              <w:t xml:space="preserve">promote active frontage </w:t>
            </w:r>
          </w:p>
        </w:tc>
      </w:tr>
      <w:tr w:rsidR="0008159C" w14:paraId="7A3E0C55" w14:textId="77777777" w:rsidTr="00FA4E31">
        <w:tc>
          <w:tcPr>
            <w:tcW w:w="4536" w:type="dxa"/>
            <w:shd w:val="clear" w:color="auto" w:fill="FFFFFF" w:themeFill="background1"/>
          </w:tcPr>
          <w:p w14:paraId="13D80A5D" w14:textId="4EA2BBD1" w:rsidR="0008159C" w:rsidRDefault="0008159C" w:rsidP="0008159C">
            <w:pPr>
              <w:pStyle w:val="TableText"/>
            </w:pPr>
            <w:r>
              <w:t>d) Materials, texture, vertical and horizontal elements, and colour are also used to complement the articulated façade.</w:t>
            </w:r>
          </w:p>
        </w:tc>
        <w:tc>
          <w:tcPr>
            <w:tcW w:w="5103" w:type="dxa"/>
            <w:shd w:val="clear" w:color="auto" w:fill="FFFFFF" w:themeFill="background1"/>
          </w:tcPr>
          <w:p w14:paraId="621240C4" w14:textId="77777777" w:rsidR="0008159C" w:rsidRDefault="0008159C" w:rsidP="0008159C">
            <w:pPr>
              <w:pStyle w:val="TableText"/>
            </w:pPr>
          </w:p>
        </w:tc>
        <w:tc>
          <w:tcPr>
            <w:tcW w:w="4931" w:type="dxa"/>
            <w:shd w:val="clear" w:color="auto" w:fill="FFFFFF" w:themeFill="background1"/>
          </w:tcPr>
          <w:p w14:paraId="1A68B99A" w14:textId="77777777" w:rsidR="0008159C" w:rsidRPr="00983A34" w:rsidRDefault="00983A34" w:rsidP="0008159C">
            <w:pPr>
              <w:pStyle w:val="TableText"/>
              <w:rPr>
                <w:b/>
                <w:bCs/>
              </w:rPr>
            </w:pPr>
            <w:r w:rsidRPr="00983A34">
              <w:rPr>
                <w:b/>
                <w:bCs/>
              </w:rPr>
              <w:t>Complies</w:t>
            </w:r>
          </w:p>
          <w:p w14:paraId="714B8BC6" w14:textId="4940DB4E" w:rsidR="00983A34" w:rsidRDefault="00983A34" w:rsidP="0008159C">
            <w:pPr>
              <w:pStyle w:val="TableText"/>
            </w:pPr>
            <w:r>
              <w:t xml:space="preserve">A variety of materials and texture have been incorporated into the design including brick, off form concrete, glass and steel. </w:t>
            </w:r>
          </w:p>
        </w:tc>
      </w:tr>
      <w:tr w:rsidR="0008159C" w14:paraId="5ABF1F6B" w14:textId="77777777" w:rsidTr="00FA4E31">
        <w:tc>
          <w:tcPr>
            <w:tcW w:w="4536" w:type="dxa"/>
            <w:shd w:val="clear" w:color="auto" w:fill="FFFFFF" w:themeFill="background1"/>
          </w:tcPr>
          <w:p w14:paraId="4FA7D7FB" w14:textId="297244C1" w:rsidR="0008159C" w:rsidRDefault="0008159C" w:rsidP="0008159C">
            <w:pPr>
              <w:pStyle w:val="TableText"/>
            </w:pPr>
            <w:r>
              <w:t>e) Roofs are an integral part of the building design and do not appear as an ‘ad hoc’ addition to the overall façade. Visual interest and variation through architectural articulation is provided to parapets or rooftops and may include sloping roofs.</w:t>
            </w:r>
          </w:p>
        </w:tc>
        <w:tc>
          <w:tcPr>
            <w:tcW w:w="5103" w:type="dxa"/>
            <w:shd w:val="clear" w:color="auto" w:fill="FFFFFF" w:themeFill="background1"/>
          </w:tcPr>
          <w:p w14:paraId="75158E20" w14:textId="51F055B0" w:rsidR="0008159C" w:rsidRDefault="0008159C" w:rsidP="0008159C">
            <w:pPr>
              <w:pStyle w:val="TableText"/>
            </w:pPr>
            <w:r>
              <w:t>Roof top open space and extensive landscaping of this area is expected to create visual interest.</w:t>
            </w:r>
          </w:p>
        </w:tc>
        <w:tc>
          <w:tcPr>
            <w:tcW w:w="4931" w:type="dxa"/>
            <w:shd w:val="clear" w:color="auto" w:fill="FFFFFF" w:themeFill="background1"/>
          </w:tcPr>
          <w:p w14:paraId="0A560109" w14:textId="77777777" w:rsidR="0008159C" w:rsidRPr="00963F5E" w:rsidRDefault="0008159C" w:rsidP="0008159C">
            <w:pPr>
              <w:pStyle w:val="TableText"/>
              <w:rPr>
                <w:b/>
                <w:bCs/>
              </w:rPr>
            </w:pPr>
            <w:r w:rsidRPr="00963F5E">
              <w:rPr>
                <w:b/>
                <w:bCs/>
              </w:rPr>
              <w:t>Complies</w:t>
            </w:r>
          </w:p>
          <w:p w14:paraId="56FA4893" w14:textId="57BEC2AE" w:rsidR="0008159C" w:rsidRDefault="0008159C" w:rsidP="0008159C">
            <w:pPr>
              <w:pStyle w:val="TableText"/>
            </w:pPr>
            <w:r>
              <w:t>The proposed building includes a several roof levels which incorporate visually interesting elements such as a rooftop garden, screening for rooftop plan, and the potential for phot voltaic plates.</w:t>
            </w:r>
          </w:p>
        </w:tc>
      </w:tr>
      <w:tr w:rsidR="0008159C" w14:paraId="1D36DA1A" w14:textId="77777777" w:rsidTr="00FA4E31">
        <w:tc>
          <w:tcPr>
            <w:tcW w:w="4536" w:type="dxa"/>
            <w:shd w:val="clear" w:color="auto" w:fill="FFFFFF" w:themeFill="background1"/>
          </w:tcPr>
          <w:p w14:paraId="53BEB168" w14:textId="39890BA7" w:rsidR="0008159C" w:rsidRDefault="0008159C" w:rsidP="0008159C">
            <w:pPr>
              <w:pStyle w:val="TableText"/>
            </w:pPr>
            <w:r>
              <w:t>f) Sloping roofs where visible should be profiled metal, painted non-reflective. Double storey verandahs should match the existing verandahs in Monaro Street.</w:t>
            </w:r>
          </w:p>
        </w:tc>
        <w:tc>
          <w:tcPr>
            <w:tcW w:w="5103" w:type="dxa"/>
            <w:shd w:val="clear" w:color="auto" w:fill="FFFFFF" w:themeFill="background1"/>
          </w:tcPr>
          <w:p w14:paraId="55A8D199" w14:textId="1EB0E319" w:rsidR="0008159C" w:rsidRDefault="0008159C" w:rsidP="0008159C">
            <w:pPr>
              <w:pStyle w:val="TableText"/>
            </w:pPr>
          </w:p>
        </w:tc>
        <w:tc>
          <w:tcPr>
            <w:tcW w:w="4931" w:type="dxa"/>
            <w:shd w:val="clear" w:color="auto" w:fill="FFFFFF" w:themeFill="background1"/>
          </w:tcPr>
          <w:p w14:paraId="2DED1EAE" w14:textId="77777777" w:rsidR="0008159C" w:rsidRPr="00963F5E" w:rsidRDefault="0008159C" w:rsidP="0008159C">
            <w:pPr>
              <w:pStyle w:val="TableText"/>
              <w:rPr>
                <w:b/>
                <w:bCs/>
              </w:rPr>
            </w:pPr>
            <w:r w:rsidRPr="00963F5E">
              <w:rPr>
                <w:b/>
                <w:bCs/>
              </w:rPr>
              <w:t>Not applicable</w:t>
            </w:r>
          </w:p>
          <w:p w14:paraId="487DCD39" w14:textId="767AE962" w:rsidR="0008159C" w:rsidRDefault="0008159C" w:rsidP="0008159C">
            <w:pPr>
              <w:pStyle w:val="TableText"/>
            </w:pPr>
            <w:r>
              <w:t>No sloping roof proposed.</w:t>
            </w:r>
          </w:p>
        </w:tc>
      </w:tr>
      <w:tr w:rsidR="0008159C" w14:paraId="699BDB92" w14:textId="77777777" w:rsidTr="00FA4E31">
        <w:tc>
          <w:tcPr>
            <w:tcW w:w="4536" w:type="dxa"/>
            <w:shd w:val="clear" w:color="auto" w:fill="FFFFFF" w:themeFill="background1"/>
          </w:tcPr>
          <w:p w14:paraId="73DBCF2B" w14:textId="3C2E940B" w:rsidR="0008159C" w:rsidRDefault="0008159C" w:rsidP="0008159C">
            <w:pPr>
              <w:pStyle w:val="TableText"/>
            </w:pPr>
            <w:r>
              <w:t>g) Plant equipment or other rooftop necessities are disguised within the rooftop structure and or are not visible from the street.</w:t>
            </w:r>
          </w:p>
        </w:tc>
        <w:tc>
          <w:tcPr>
            <w:tcW w:w="5103" w:type="dxa"/>
            <w:shd w:val="clear" w:color="auto" w:fill="FFFFFF" w:themeFill="background1"/>
          </w:tcPr>
          <w:p w14:paraId="078A74DF" w14:textId="77777777" w:rsidR="0008159C" w:rsidRDefault="0008159C" w:rsidP="0008159C">
            <w:pPr>
              <w:pStyle w:val="TableText"/>
            </w:pPr>
            <w:r>
              <w:t xml:space="preserve">Plant located on the rooftop is setback so that it is not visible from the street. </w:t>
            </w:r>
          </w:p>
          <w:p w14:paraId="52A799A9" w14:textId="77777777" w:rsidR="0008159C" w:rsidRDefault="0008159C" w:rsidP="0008159C">
            <w:pPr>
              <w:pStyle w:val="TableText"/>
            </w:pPr>
          </w:p>
        </w:tc>
        <w:tc>
          <w:tcPr>
            <w:tcW w:w="4931" w:type="dxa"/>
            <w:shd w:val="clear" w:color="auto" w:fill="FFFFFF" w:themeFill="background1"/>
          </w:tcPr>
          <w:p w14:paraId="37053389" w14:textId="77777777" w:rsidR="0008159C" w:rsidRPr="00963F5E" w:rsidRDefault="0008159C" w:rsidP="0008159C">
            <w:pPr>
              <w:pStyle w:val="TableText"/>
              <w:rPr>
                <w:b/>
                <w:bCs/>
              </w:rPr>
            </w:pPr>
            <w:r w:rsidRPr="00963F5E">
              <w:rPr>
                <w:b/>
                <w:bCs/>
              </w:rPr>
              <w:t>Complies</w:t>
            </w:r>
          </w:p>
          <w:p w14:paraId="02BEB7BF" w14:textId="2BDA3B92" w:rsidR="0008159C" w:rsidRDefault="0008159C" w:rsidP="0008159C">
            <w:pPr>
              <w:pStyle w:val="TableText"/>
            </w:pPr>
            <w:r>
              <w:t>A plant room is proposed to enclose rooftop plant.</w:t>
            </w:r>
          </w:p>
        </w:tc>
      </w:tr>
      <w:tr w:rsidR="0008159C" w14:paraId="66961CBD" w14:textId="77777777" w:rsidTr="00FA4E31">
        <w:tc>
          <w:tcPr>
            <w:tcW w:w="4536" w:type="dxa"/>
            <w:shd w:val="clear" w:color="auto" w:fill="FFFFFF" w:themeFill="background1"/>
          </w:tcPr>
          <w:p w14:paraId="65E63C15" w14:textId="3C8B07C4" w:rsidR="0008159C" w:rsidRDefault="0008159C" w:rsidP="0008159C">
            <w:pPr>
              <w:pStyle w:val="TableText"/>
            </w:pPr>
            <w:r>
              <w:t xml:space="preserve">h) Rooftop treatments are encouraged where they are visible from nearby buildings. Such </w:t>
            </w:r>
            <w:r>
              <w:lastRenderedPageBreak/>
              <w:t>treatments may include gravel artwork and designs or green roofs.</w:t>
            </w:r>
          </w:p>
        </w:tc>
        <w:tc>
          <w:tcPr>
            <w:tcW w:w="5103" w:type="dxa"/>
            <w:shd w:val="clear" w:color="auto" w:fill="FFFFFF" w:themeFill="background1"/>
          </w:tcPr>
          <w:p w14:paraId="4C9BD8BB" w14:textId="1BFBCB5E" w:rsidR="0008159C" w:rsidRDefault="0008159C" w:rsidP="0008159C">
            <w:pPr>
              <w:pStyle w:val="TableText"/>
            </w:pPr>
            <w:r>
              <w:lastRenderedPageBreak/>
              <w:t>The proposed development includes open rooftop space, featuring extensive landscaping.</w:t>
            </w:r>
          </w:p>
        </w:tc>
        <w:tc>
          <w:tcPr>
            <w:tcW w:w="4931" w:type="dxa"/>
            <w:shd w:val="clear" w:color="auto" w:fill="FFFFFF" w:themeFill="background1"/>
          </w:tcPr>
          <w:p w14:paraId="34D5FA1F" w14:textId="77777777" w:rsidR="0008159C" w:rsidRPr="00963F5E" w:rsidRDefault="0008159C" w:rsidP="0008159C">
            <w:pPr>
              <w:pStyle w:val="TableText"/>
              <w:rPr>
                <w:b/>
                <w:bCs/>
              </w:rPr>
            </w:pPr>
            <w:r w:rsidRPr="00963F5E">
              <w:rPr>
                <w:b/>
                <w:bCs/>
              </w:rPr>
              <w:t>Complies</w:t>
            </w:r>
          </w:p>
          <w:p w14:paraId="11D65561" w14:textId="134F7BF2" w:rsidR="0008159C" w:rsidRDefault="0008159C" w:rsidP="0008159C">
            <w:pPr>
              <w:pStyle w:val="TableText"/>
            </w:pPr>
            <w:r>
              <w:lastRenderedPageBreak/>
              <w:t xml:space="preserve">Level 3 includes a rooftop garden and curved structure to enclose rooftop plant and create visual interest. </w:t>
            </w:r>
          </w:p>
        </w:tc>
      </w:tr>
      <w:tr w:rsidR="0008159C" w14:paraId="72204E6A" w14:textId="77777777" w:rsidTr="00FA4E31">
        <w:tc>
          <w:tcPr>
            <w:tcW w:w="4536" w:type="dxa"/>
            <w:shd w:val="clear" w:color="auto" w:fill="FFFFFF" w:themeFill="background1"/>
          </w:tcPr>
          <w:p w14:paraId="2B0C424E" w14:textId="7505CD63" w:rsidR="0008159C" w:rsidRDefault="0008159C" w:rsidP="0008159C">
            <w:pPr>
              <w:pStyle w:val="TableText"/>
            </w:pPr>
            <w:r>
              <w:lastRenderedPageBreak/>
              <w:t>i) Adaptive reuse of existing buildings is encouraged.</w:t>
            </w:r>
          </w:p>
        </w:tc>
        <w:tc>
          <w:tcPr>
            <w:tcW w:w="5103" w:type="dxa"/>
            <w:shd w:val="clear" w:color="auto" w:fill="FFFFFF" w:themeFill="background1"/>
          </w:tcPr>
          <w:p w14:paraId="105875A4" w14:textId="3D12D6C3" w:rsidR="0008159C" w:rsidRDefault="0008159C" w:rsidP="0008159C">
            <w:pPr>
              <w:pStyle w:val="TableText"/>
            </w:pPr>
            <w:r>
              <w:t>-</w:t>
            </w:r>
          </w:p>
        </w:tc>
        <w:tc>
          <w:tcPr>
            <w:tcW w:w="4931" w:type="dxa"/>
            <w:shd w:val="clear" w:color="auto" w:fill="FFFFFF" w:themeFill="background1"/>
          </w:tcPr>
          <w:p w14:paraId="2CA5DD1C" w14:textId="48B3DA96" w:rsidR="0008159C" w:rsidRPr="00963F5E" w:rsidRDefault="0008159C" w:rsidP="0008159C">
            <w:pPr>
              <w:pStyle w:val="TableText"/>
              <w:rPr>
                <w:b/>
                <w:bCs/>
              </w:rPr>
            </w:pPr>
            <w:r w:rsidRPr="00963F5E">
              <w:rPr>
                <w:b/>
                <w:bCs/>
              </w:rPr>
              <w:t xml:space="preserve">Not applicable </w:t>
            </w:r>
          </w:p>
        </w:tc>
      </w:tr>
      <w:tr w:rsidR="0008159C" w14:paraId="70BC284E" w14:textId="77777777" w:rsidTr="00FA4E31">
        <w:tc>
          <w:tcPr>
            <w:tcW w:w="4536" w:type="dxa"/>
            <w:shd w:val="clear" w:color="auto" w:fill="FFFFFF" w:themeFill="background1"/>
          </w:tcPr>
          <w:p w14:paraId="4E10B675" w14:textId="231EB6C2" w:rsidR="0008159C" w:rsidRDefault="0008159C" w:rsidP="0008159C">
            <w:pPr>
              <w:pStyle w:val="TableText"/>
            </w:pPr>
            <w:r>
              <w:t>j) Building mass and bulk is appropriate to its context.</w:t>
            </w:r>
          </w:p>
        </w:tc>
        <w:tc>
          <w:tcPr>
            <w:tcW w:w="5103" w:type="dxa"/>
            <w:shd w:val="clear" w:color="auto" w:fill="FFFFFF" w:themeFill="background1"/>
          </w:tcPr>
          <w:p w14:paraId="72347D6B" w14:textId="0434E595" w:rsidR="0008159C" w:rsidRDefault="0008159C" w:rsidP="0008159C">
            <w:pPr>
              <w:pStyle w:val="TableText"/>
            </w:pPr>
            <w:r>
              <w:t xml:space="preserve">The development appropriately addresses building bulk through the setback of higher storeys and separation of the development from the heritage items via the laneway </w:t>
            </w:r>
          </w:p>
        </w:tc>
        <w:tc>
          <w:tcPr>
            <w:tcW w:w="4931" w:type="dxa"/>
            <w:shd w:val="clear" w:color="auto" w:fill="FFFFFF" w:themeFill="background1"/>
          </w:tcPr>
          <w:p w14:paraId="62BC66AF" w14:textId="235AB90F" w:rsidR="0008159C" w:rsidRPr="00963F5E" w:rsidRDefault="0008159C" w:rsidP="0008159C">
            <w:pPr>
              <w:pStyle w:val="TableText"/>
              <w:rPr>
                <w:b/>
                <w:bCs/>
              </w:rPr>
            </w:pPr>
            <w:r w:rsidRPr="00963F5E">
              <w:rPr>
                <w:b/>
                <w:bCs/>
              </w:rPr>
              <w:t>Complies</w:t>
            </w:r>
          </w:p>
        </w:tc>
      </w:tr>
      <w:tr w:rsidR="0008159C" w14:paraId="67C10327" w14:textId="77777777" w:rsidTr="00FA4E31">
        <w:tc>
          <w:tcPr>
            <w:tcW w:w="4536" w:type="dxa"/>
            <w:shd w:val="clear" w:color="auto" w:fill="FFFFFF" w:themeFill="background1"/>
          </w:tcPr>
          <w:p w14:paraId="6BFA55D6" w14:textId="400659A0" w:rsidR="0008159C" w:rsidRDefault="0008159C" w:rsidP="0008159C">
            <w:pPr>
              <w:pStyle w:val="TableText"/>
            </w:pPr>
            <w:r>
              <w:t>k) Blank or opaque walls of greater than 10m or 30% of the site frontage, whichever is the lesser, are not acceptable in retail streets.</w:t>
            </w:r>
          </w:p>
        </w:tc>
        <w:tc>
          <w:tcPr>
            <w:tcW w:w="5103" w:type="dxa"/>
            <w:shd w:val="clear" w:color="auto" w:fill="FFFFFF" w:themeFill="background1"/>
          </w:tcPr>
          <w:p w14:paraId="7DBBD1D3" w14:textId="77777777" w:rsidR="0008159C" w:rsidRDefault="0008159C" w:rsidP="0008159C">
            <w:pPr>
              <w:pStyle w:val="TableText"/>
            </w:pPr>
          </w:p>
        </w:tc>
        <w:tc>
          <w:tcPr>
            <w:tcW w:w="4931" w:type="dxa"/>
            <w:shd w:val="clear" w:color="auto" w:fill="FFFFFF" w:themeFill="background1"/>
          </w:tcPr>
          <w:p w14:paraId="0F9B28AE" w14:textId="5E0172DC" w:rsidR="0008159C" w:rsidRPr="00963F5E" w:rsidRDefault="0008159C" w:rsidP="0008159C">
            <w:pPr>
              <w:pStyle w:val="TableText"/>
              <w:rPr>
                <w:b/>
                <w:bCs/>
              </w:rPr>
            </w:pPr>
            <w:r w:rsidRPr="00963F5E">
              <w:rPr>
                <w:b/>
                <w:bCs/>
              </w:rPr>
              <w:t>Complies</w:t>
            </w:r>
          </w:p>
          <w:p w14:paraId="296D78D3" w14:textId="1837C6C2" w:rsidR="0008159C" w:rsidRDefault="0008159C" w:rsidP="0008159C">
            <w:pPr>
              <w:pStyle w:val="TableText"/>
            </w:pPr>
            <w:r>
              <w:t>Crawford Street is not a retail street. However, the proposed development has</w:t>
            </w:r>
          </w:p>
        </w:tc>
      </w:tr>
      <w:tr w:rsidR="0008159C" w14:paraId="36E45514" w14:textId="77777777" w:rsidTr="00FA4E31">
        <w:tc>
          <w:tcPr>
            <w:tcW w:w="4536" w:type="dxa"/>
            <w:shd w:val="clear" w:color="auto" w:fill="FFFFFF" w:themeFill="background1"/>
          </w:tcPr>
          <w:p w14:paraId="058297D5" w14:textId="51772F22" w:rsidR="0008159C" w:rsidRDefault="0008159C" w:rsidP="0008159C">
            <w:pPr>
              <w:pStyle w:val="TableText"/>
            </w:pPr>
            <w:r>
              <w:t>l) Unsightly streetscape elements such as garage doors and other service infrastructure should generally not be visible from the street/footpath.</w:t>
            </w:r>
          </w:p>
        </w:tc>
        <w:tc>
          <w:tcPr>
            <w:tcW w:w="5103" w:type="dxa"/>
            <w:shd w:val="clear" w:color="auto" w:fill="FFFFFF" w:themeFill="background1"/>
          </w:tcPr>
          <w:p w14:paraId="7E078611" w14:textId="77964BFA" w:rsidR="0008159C" w:rsidRDefault="0008159C" w:rsidP="0008159C">
            <w:pPr>
              <w:pStyle w:val="TableText"/>
            </w:pPr>
            <w:r>
              <w:t>Vehicular access and services will be placed within the laneway and not impact on the streetscape.</w:t>
            </w:r>
          </w:p>
        </w:tc>
        <w:tc>
          <w:tcPr>
            <w:tcW w:w="4931" w:type="dxa"/>
            <w:shd w:val="clear" w:color="auto" w:fill="FFFFFF" w:themeFill="background1"/>
          </w:tcPr>
          <w:p w14:paraId="189CDD6B" w14:textId="77777777" w:rsidR="0008159C" w:rsidRPr="00963F5E" w:rsidRDefault="0008159C" w:rsidP="0008159C">
            <w:pPr>
              <w:pStyle w:val="TableText"/>
              <w:rPr>
                <w:b/>
                <w:bCs/>
              </w:rPr>
            </w:pPr>
            <w:r w:rsidRPr="00963F5E">
              <w:rPr>
                <w:b/>
                <w:bCs/>
              </w:rPr>
              <w:t>Complies</w:t>
            </w:r>
          </w:p>
          <w:p w14:paraId="01AF2328" w14:textId="2ED0BAD9" w:rsidR="0008159C" w:rsidRDefault="0008159C" w:rsidP="0008159C">
            <w:pPr>
              <w:pStyle w:val="TableText"/>
            </w:pPr>
          </w:p>
        </w:tc>
      </w:tr>
      <w:tr w:rsidR="0008159C" w14:paraId="0BAEA60B" w14:textId="77777777" w:rsidTr="00FA4E31">
        <w:tc>
          <w:tcPr>
            <w:tcW w:w="4536" w:type="dxa"/>
            <w:shd w:val="clear" w:color="auto" w:fill="FFFFFF" w:themeFill="background1"/>
          </w:tcPr>
          <w:p w14:paraId="03A4CB5B" w14:textId="3802B48C" w:rsidR="0008159C" w:rsidRDefault="0008159C" w:rsidP="0008159C">
            <w:pPr>
              <w:pStyle w:val="TableText"/>
            </w:pPr>
            <w:r>
              <w:t>m) External walls should be constructed of high quality and durable materials and finishes with ‘self cleaning’ attributes, such as face brickwork, rendered brickwork, stone, concrete and glass.</w:t>
            </w:r>
          </w:p>
        </w:tc>
        <w:tc>
          <w:tcPr>
            <w:tcW w:w="5103" w:type="dxa"/>
            <w:shd w:val="clear" w:color="auto" w:fill="FFFFFF" w:themeFill="background1"/>
          </w:tcPr>
          <w:p w14:paraId="641A20C6" w14:textId="52D9C89D" w:rsidR="0008159C" w:rsidRDefault="0008159C" w:rsidP="0008159C">
            <w:pPr>
              <w:pStyle w:val="TableText"/>
            </w:pPr>
            <w:r>
              <w:t>External walls to be constructed of face brick and glass</w:t>
            </w:r>
          </w:p>
        </w:tc>
        <w:tc>
          <w:tcPr>
            <w:tcW w:w="4931" w:type="dxa"/>
            <w:shd w:val="clear" w:color="auto" w:fill="FFFFFF" w:themeFill="background1"/>
          </w:tcPr>
          <w:p w14:paraId="5A5CFC10" w14:textId="77777777" w:rsidR="0008159C" w:rsidRPr="00963F5E" w:rsidRDefault="0008159C" w:rsidP="0008159C">
            <w:pPr>
              <w:pStyle w:val="TableText"/>
              <w:rPr>
                <w:b/>
                <w:bCs/>
              </w:rPr>
            </w:pPr>
            <w:r w:rsidRPr="00963F5E">
              <w:rPr>
                <w:b/>
                <w:bCs/>
              </w:rPr>
              <w:t>Complies</w:t>
            </w:r>
          </w:p>
          <w:p w14:paraId="5968270B" w14:textId="3C3ED94A" w:rsidR="0008159C" w:rsidRDefault="0008159C" w:rsidP="0008159C">
            <w:pPr>
              <w:pStyle w:val="TableText"/>
            </w:pPr>
            <w:r>
              <w:t xml:space="preserve">Materials and finishes selection includes appropriate low maintenance materials </w:t>
            </w:r>
          </w:p>
        </w:tc>
      </w:tr>
      <w:tr w:rsidR="0008159C" w14:paraId="2310FFE2" w14:textId="77777777" w:rsidTr="00FA4E31">
        <w:tc>
          <w:tcPr>
            <w:tcW w:w="4536" w:type="dxa"/>
            <w:shd w:val="clear" w:color="auto" w:fill="FFFFFF" w:themeFill="background1"/>
          </w:tcPr>
          <w:p w14:paraId="1E3409CC" w14:textId="58560980" w:rsidR="0008159C" w:rsidRDefault="0008159C" w:rsidP="0008159C">
            <w:pPr>
              <w:pStyle w:val="TableText"/>
            </w:pPr>
            <w:r>
              <w:t>n) Finishes with high maintenance costs, those susceptible to degradation or finishes that result in unacceptable amenity impacts, such as reflective glass, are to be avoided.</w:t>
            </w:r>
          </w:p>
        </w:tc>
        <w:tc>
          <w:tcPr>
            <w:tcW w:w="5103" w:type="dxa"/>
            <w:shd w:val="clear" w:color="auto" w:fill="FFFFFF" w:themeFill="background1"/>
          </w:tcPr>
          <w:p w14:paraId="4D688B1C" w14:textId="77777777" w:rsidR="0008159C" w:rsidRDefault="0008159C" w:rsidP="0008159C">
            <w:pPr>
              <w:pStyle w:val="TableText"/>
            </w:pPr>
          </w:p>
        </w:tc>
        <w:tc>
          <w:tcPr>
            <w:tcW w:w="4931" w:type="dxa"/>
            <w:shd w:val="clear" w:color="auto" w:fill="FFFFFF" w:themeFill="background1"/>
          </w:tcPr>
          <w:p w14:paraId="67596F0D" w14:textId="77777777" w:rsidR="0008159C" w:rsidRPr="00963F5E" w:rsidRDefault="0008159C" w:rsidP="0008159C">
            <w:pPr>
              <w:pStyle w:val="TableText"/>
              <w:rPr>
                <w:b/>
                <w:bCs/>
              </w:rPr>
            </w:pPr>
            <w:r w:rsidRPr="00963F5E">
              <w:rPr>
                <w:b/>
                <w:bCs/>
              </w:rPr>
              <w:t>Complies</w:t>
            </w:r>
          </w:p>
          <w:p w14:paraId="3EAD8D42" w14:textId="75DBF489" w:rsidR="0008159C" w:rsidRDefault="0008159C" w:rsidP="0008159C">
            <w:pPr>
              <w:pStyle w:val="TableText"/>
            </w:pPr>
            <w:r>
              <w:t xml:space="preserve">Materials and finishes selection includes appropriate low maintenance materials </w:t>
            </w:r>
          </w:p>
        </w:tc>
      </w:tr>
      <w:tr w:rsidR="0008159C" w14:paraId="5267A73F" w14:textId="77777777" w:rsidTr="00FA4E31">
        <w:tc>
          <w:tcPr>
            <w:tcW w:w="4536" w:type="dxa"/>
            <w:shd w:val="clear" w:color="auto" w:fill="FFFFFF" w:themeFill="background1"/>
          </w:tcPr>
          <w:p w14:paraId="1121B1FA" w14:textId="7D89F96C" w:rsidR="0008159C" w:rsidRDefault="0008159C" w:rsidP="0008159C">
            <w:pPr>
              <w:pStyle w:val="TableText"/>
            </w:pPr>
            <w:r>
              <w:t>o) Expanses of any single material is to be avoided to assist articulation and visual interest.</w:t>
            </w:r>
          </w:p>
        </w:tc>
        <w:tc>
          <w:tcPr>
            <w:tcW w:w="5103" w:type="dxa"/>
            <w:shd w:val="clear" w:color="auto" w:fill="FFFFFF" w:themeFill="background1"/>
          </w:tcPr>
          <w:p w14:paraId="54B5902C" w14:textId="77777777" w:rsidR="0008159C" w:rsidRDefault="0008159C" w:rsidP="0008159C">
            <w:pPr>
              <w:pStyle w:val="TableText"/>
            </w:pPr>
          </w:p>
        </w:tc>
        <w:tc>
          <w:tcPr>
            <w:tcW w:w="4931" w:type="dxa"/>
            <w:shd w:val="clear" w:color="auto" w:fill="FFFFFF" w:themeFill="background1"/>
          </w:tcPr>
          <w:p w14:paraId="34EA723C" w14:textId="5C5668C3" w:rsidR="0008159C" w:rsidRPr="00963F5E" w:rsidRDefault="0008159C" w:rsidP="0008159C">
            <w:pPr>
              <w:pStyle w:val="TableText"/>
              <w:rPr>
                <w:b/>
                <w:bCs/>
              </w:rPr>
            </w:pPr>
            <w:r w:rsidRPr="00963F5E">
              <w:rPr>
                <w:b/>
                <w:bCs/>
              </w:rPr>
              <w:t>Complies</w:t>
            </w:r>
          </w:p>
          <w:p w14:paraId="5468C558" w14:textId="4887EEE1" w:rsidR="0008159C" w:rsidRDefault="0008159C" w:rsidP="0008159C">
            <w:pPr>
              <w:pStyle w:val="TableText"/>
            </w:pPr>
            <w:r>
              <w:t xml:space="preserve">Glass facades include sun shades, louvres and framing the break up single materials. </w:t>
            </w:r>
          </w:p>
        </w:tc>
      </w:tr>
      <w:tr w:rsidR="0008159C" w14:paraId="5680B9FD" w14:textId="77777777" w:rsidTr="00FA4E31">
        <w:tc>
          <w:tcPr>
            <w:tcW w:w="4536" w:type="dxa"/>
            <w:shd w:val="clear" w:color="auto" w:fill="FFFFFF" w:themeFill="background1"/>
          </w:tcPr>
          <w:p w14:paraId="0BE181D2" w14:textId="743E3F34" w:rsidR="0008159C" w:rsidRDefault="0008159C" w:rsidP="0008159C">
            <w:pPr>
              <w:pStyle w:val="TableText"/>
            </w:pPr>
            <w:r>
              <w:t>p) Highly reflective finishes and curtain wall glazing are not permitted above ground floor level.</w:t>
            </w:r>
          </w:p>
        </w:tc>
        <w:tc>
          <w:tcPr>
            <w:tcW w:w="5103" w:type="dxa"/>
            <w:shd w:val="clear" w:color="auto" w:fill="FFFFFF" w:themeFill="background1"/>
          </w:tcPr>
          <w:p w14:paraId="653E1700" w14:textId="77777777" w:rsidR="0008159C" w:rsidRDefault="0008159C" w:rsidP="0008159C">
            <w:pPr>
              <w:pStyle w:val="TableText"/>
            </w:pPr>
          </w:p>
        </w:tc>
        <w:tc>
          <w:tcPr>
            <w:tcW w:w="4931" w:type="dxa"/>
            <w:shd w:val="clear" w:color="auto" w:fill="FFFFFF" w:themeFill="background1"/>
          </w:tcPr>
          <w:p w14:paraId="467441E3" w14:textId="77777777" w:rsidR="0008159C" w:rsidRPr="00963F5E" w:rsidRDefault="0008159C" w:rsidP="0008159C">
            <w:pPr>
              <w:pStyle w:val="TableText"/>
              <w:rPr>
                <w:b/>
                <w:bCs/>
              </w:rPr>
            </w:pPr>
            <w:r w:rsidRPr="00963F5E">
              <w:rPr>
                <w:b/>
                <w:bCs/>
              </w:rPr>
              <w:t>Does not comply</w:t>
            </w:r>
          </w:p>
          <w:p w14:paraId="1A05404E" w14:textId="1844F516" w:rsidR="0008159C" w:rsidRDefault="0008159C" w:rsidP="0008159C">
            <w:pPr>
              <w:pStyle w:val="TableText"/>
            </w:pPr>
            <w:r>
              <w:t>Curtin wall glazing is proposed.</w:t>
            </w:r>
          </w:p>
        </w:tc>
      </w:tr>
      <w:tr w:rsidR="0008159C" w14:paraId="272ABEB5" w14:textId="77777777" w:rsidTr="00FA4E31">
        <w:tc>
          <w:tcPr>
            <w:tcW w:w="4536" w:type="dxa"/>
            <w:shd w:val="clear" w:color="auto" w:fill="FFFFFF" w:themeFill="background1"/>
          </w:tcPr>
          <w:p w14:paraId="0D3BC0BD" w14:textId="09781E5D" w:rsidR="0008159C" w:rsidRDefault="0008159C" w:rsidP="0008159C">
            <w:pPr>
              <w:pStyle w:val="TableText"/>
            </w:pPr>
            <w:r>
              <w:lastRenderedPageBreak/>
              <w:t>q) New or infill development is modern and contemporary, but respects and reflects the established streetscape and built form, matching the prevailing scale, colours, materials, and proportions of these buildings.</w:t>
            </w:r>
          </w:p>
        </w:tc>
        <w:tc>
          <w:tcPr>
            <w:tcW w:w="5103" w:type="dxa"/>
            <w:shd w:val="clear" w:color="auto" w:fill="FFFFFF" w:themeFill="background1"/>
          </w:tcPr>
          <w:p w14:paraId="3A3D1F7F" w14:textId="77777777" w:rsidR="0008159C" w:rsidRDefault="0008159C" w:rsidP="0008159C">
            <w:pPr>
              <w:pStyle w:val="TableText"/>
            </w:pPr>
            <w:r>
              <w:t xml:space="preserve">Proposal includes facebrick and glass panelling which is both contemporary and reflective of the established Queanbeyan palate. </w:t>
            </w:r>
          </w:p>
          <w:p w14:paraId="485DB8E0" w14:textId="77777777" w:rsidR="0008159C" w:rsidRDefault="0008159C" w:rsidP="0008159C">
            <w:pPr>
              <w:pStyle w:val="TableText"/>
            </w:pPr>
          </w:p>
        </w:tc>
        <w:tc>
          <w:tcPr>
            <w:tcW w:w="4931" w:type="dxa"/>
            <w:shd w:val="clear" w:color="auto" w:fill="FFFFFF" w:themeFill="background1"/>
          </w:tcPr>
          <w:p w14:paraId="64A2F186" w14:textId="77777777" w:rsidR="0008159C" w:rsidRPr="00963F5E" w:rsidRDefault="0008159C" w:rsidP="0008159C">
            <w:pPr>
              <w:pStyle w:val="TableText"/>
              <w:rPr>
                <w:b/>
                <w:bCs/>
              </w:rPr>
            </w:pPr>
            <w:r w:rsidRPr="00963F5E">
              <w:rPr>
                <w:b/>
                <w:bCs/>
              </w:rPr>
              <w:t>Complies.</w:t>
            </w:r>
          </w:p>
          <w:p w14:paraId="4E8A3547" w14:textId="6D6F5F2B" w:rsidR="0008159C" w:rsidRDefault="0008159C" w:rsidP="0008159C">
            <w:pPr>
              <w:pStyle w:val="TableText"/>
            </w:pPr>
          </w:p>
        </w:tc>
      </w:tr>
      <w:tr w:rsidR="0008159C" w14:paraId="52A1CBD2" w14:textId="77777777" w:rsidTr="00FA4E31">
        <w:tc>
          <w:tcPr>
            <w:tcW w:w="4536" w:type="dxa"/>
            <w:shd w:val="clear" w:color="auto" w:fill="FFFFFF" w:themeFill="background1"/>
          </w:tcPr>
          <w:p w14:paraId="28CDF667" w14:textId="598D7241" w:rsidR="0008159C" w:rsidRDefault="0008159C" w:rsidP="0008159C">
            <w:pPr>
              <w:pStyle w:val="TableText"/>
            </w:pPr>
            <w:r>
              <w:t>r) New buildings in the Central Business District should provide for a continuous building façade which blends into the streetscape.</w:t>
            </w:r>
          </w:p>
        </w:tc>
        <w:tc>
          <w:tcPr>
            <w:tcW w:w="5103" w:type="dxa"/>
            <w:shd w:val="clear" w:color="auto" w:fill="FFFFFF" w:themeFill="background1"/>
          </w:tcPr>
          <w:p w14:paraId="3A198C20" w14:textId="77777777" w:rsidR="0008159C" w:rsidRDefault="0008159C" w:rsidP="0008159C">
            <w:pPr>
              <w:pStyle w:val="TableText"/>
            </w:pPr>
            <w:r>
              <w:t xml:space="preserve">Integration with the Bicentennial Hall and surrounding buildings to the north, allows for the creation of a streetwall/continuous façade. </w:t>
            </w:r>
          </w:p>
          <w:p w14:paraId="00728BC3" w14:textId="77777777" w:rsidR="0008159C" w:rsidRDefault="0008159C" w:rsidP="0008159C">
            <w:pPr>
              <w:pStyle w:val="TableText"/>
            </w:pPr>
          </w:p>
        </w:tc>
        <w:tc>
          <w:tcPr>
            <w:tcW w:w="4931" w:type="dxa"/>
            <w:shd w:val="clear" w:color="auto" w:fill="FFFFFF" w:themeFill="background1"/>
          </w:tcPr>
          <w:p w14:paraId="2640CA3C" w14:textId="77777777" w:rsidR="0008159C" w:rsidRPr="00B77F92" w:rsidRDefault="0008159C" w:rsidP="0008159C">
            <w:pPr>
              <w:pStyle w:val="TableText"/>
              <w:rPr>
                <w:b/>
                <w:bCs/>
              </w:rPr>
            </w:pPr>
            <w:r w:rsidRPr="00B77F92">
              <w:rPr>
                <w:b/>
                <w:bCs/>
              </w:rPr>
              <w:t>Complies</w:t>
            </w:r>
          </w:p>
          <w:p w14:paraId="4568701C" w14:textId="62D87D03" w:rsidR="0008159C" w:rsidRDefault="0008159C" w:rsidP="0008159C">
            <w:pPr>
              <w:pStyle w:val="TableText"/>
            </w:pPr>
          </w:p>
        </w:tc>
      </w:tr>
      <w:tr w:rsidR="0008159C" w14:paraId="43A31367" w14:textId="77777777" w:rsidTr="00FA4E31">
        <w:tc>
          <w:tcPr>
            <w:tcW w:w="4536" w:type="dxa"/>
            <w:shd w:val="clear" w:color="auto" w:fill="FFFFFF" w:themeFill="background1"/>
          </w:tcPr>
          <w:p w14:paraId="6B2B146D" w14:textId="64238E49" w:rsidR="0008159C" w:rsidRDefault="0008159C" w:rsidP="0008159C">
            <w:pPr>
              <w:pStyle w:val="TableText"/>
            </w:pPr>
            <w:r>
              <w:t>s) Visual interest is provided through articulation of the façade. Such architectural treatment may be provided through stepping built form, emphasised entries, separation of the façade into separate sections by means of vertical elements, or other similar architectural treatments.</w:t>
            </w:r>
          </w:p>
        </w:tc>
        <w:tc>
          <w:tcPr>
            <w:tcW w:w="5103" w:type="dxa"/>
            <w:shd w:val="clear" w:color="auto" w:fill="FFFFFF" w:themeFill="background1"/>
          </w:tcPr>
          <w:p w14:paraId="70FE34F5" w14:textId="77777777" w:rsidR="0008159C" w:rsidRDefault="0008159C" w:rsidP="0008159C">
            <w:pPr>
              <w:pStyle w:val="TableText"/>
            </w:pPr>
            <w:r>
              <w:t xml:space="preserve">Visual interest created through the lower podium, emphasised entries and separation of the entries to the different public administration uses. Horizontal articulation defines each floor of the development. </w:t>
            </w:r>
          </w:p>
          <w:p w14:paraId="6EBB9CCB" w14:textId="77777777" w:rsidR="0008159C" w:rsidRDefault="0008159C" w:rsidP="0008159C">
            <w:pPr>
              <w:pStyle w:val="TableText"/>
            </w:pPr>
          </w:p>
        </w:tc>
        <w:tc>
          <w:tcPr>
            <w:tcW w:w="4931" w:type="dxa"/>
            <w:shd w:val="clear" w:color="auto" w:fill="FFFFFF" w:themeFill="background1"/>
          </w:tcPr>
          <w:p w14:paraId="2E7B1A0C" w14:textId="02703F01" w:rsidR="0008159C" w:rsidRPr="00B77F92" w:rsidRDefault="0008159C" w:rsidP="0008159C">
            <w:pPr>
              <w:pStyle w:val="TableText"/>
              <w:rPr>
                <w:b/>
                <w:bCs/>
              </w:rPr>
            </w:pPr>
            <w:r w:rsidRPr="00B77F92">
              <w:rPr>
                <w:b/>
                <w:bCs/>
              </w:rPr>
              <w:t xml:space="preserve">Complies </w:t>
            </w:r>
          </w:p>
        </w:tc>
      </w:tr>
      <w:tr w:rsidR="0008159C" w14:paraId="3B5DAB83" w14:textId="77777777" w:rsidTr="00B359C9">
        <w:tc>
          <w:tcPr>
            <w:tcW w:w="4536" w:type="dxa"/>
            <w:tcBorders>
              <w:bottom w:val="single" w:sz="4" w:space="0" w:color="4E4E50" w:themeColor="accent2"/>
            </w:tcBorders>
            <w:shd w:val="clear" w:color="auto" w:fill="FFFFFF" w:themeFill="background1"/>
          </w:tcPr>
          <w:p w14:paraId="36E1BDB8" w14:textId="14FC49A2" w:rsidR="0008159C" w:rsidRDefault="0008159C" w:rsidP="0008159C">
            <w:pPr>
              <w:pStyle w:val="TableText"/>
            </w:pPr>
            <w:r>
              <w:t>t) Facades should be designed with an appropriate scale, rhythm and proportion which responds to the building’s use and the designed contextual character.</w:t>
            </w:r>
          </w:p>
        </w:tc>
        <w:tc>
          <w:tcPr>
            <w:tcW w:w="5103" w:type="dxa"/>
            <w:tcBorders>
              <w:bottom w:val="single" w:sz="4" w:space="0" w:color="4E4E50" w:themeColor="accent2"/>
            </w:tcBorders>
            <w:shd w:val="clear" w:color="auto" w:fill="FFFFFF" w:themeFill="background1"/>
          </w:tcPr>
          <w:p w14:paraId="0D381636" w14:textId="1453010B" w:rsidR="0008159C" w:rsidRDefault="0008159C" w:rsidP="0008159C">
            <w:pPr>
              <w:pStyle w:val="TableText"/>
            </w:pPr>
            <w:r>
              <w:t>Integration with the Bicentennial Hall and surrounding buildings to the north, allows for the creation of a streetwall/continuous façade.</w:t>
            </w:r>
          </w:p>
        </w:tc>
        <w:tc>
          <w:tcPr>
            <w:tcW w:w="4931" w:type="dxa"/>
            <w:tcBorders>
              <w:bottom w:val="single" w:sz="4" w:space="0" w:color="4E4E50" w:themeColor="accent2"/>
            </w:tcBorders>
            <w:shd w:val="clear" w:color="auto" w:fill="FFFFFF" w:themeFill="background1"/>
          </w:tcPr>
          <w:p w14:paraId="21AC6A88" w14:textId="77777777" w:rsidR="0008159C" w:rsidRDefault="0008159C" w:rsidP="0008159C">
            <w:pPr>
              <w:pStyle w:val="TableText"/>
            </w:pPr>
            <w:r w:rsidRPr="00B77F92">
              <w:rPr>
                <w:b/>
                <w:bCs/>
              </w:rPr>
              <w:t>Complies</w:t>
            </w:r>
          </w:p>
          <w:p w14:paraId="3BB8CB57" w14:textId="272DC35C" w:rsidR="0008159C" w:rsidRDefault="0008159C" w:rsidP="0008159C">
            <w:pPr>
              <w:pStyle w:val="TableText"/>
            </w:pPr>
          </w:p>
        </w:tc>
      </w:tr>
      <w:tr w:rsidR="0008159C" w14:paraId="13286A75" w14:textId="77777777" w:rsidTr="00B359C9">
        <w:tc>
          <w:tcPr>
            <w:tcW w:w="4536" w:type="dxa"/>
            <w:shd w:val="clear" w:color="auto" w:fill="B7B7B9" w:themeFill="accent2" w:themeFillTint="66"/>
          </w:tcPr>
          <w:p w14:paraId="1D67976B" w14:textId="7A239211" w:rsidR="0008159C" w:rsidRPr="00B359C9" w:rsidRDefault="0008159C" w:rsidP="0008159C">
            <w:pPr>
              <w:pStyle w:val="TableText"/>
              <w:rPr>
                <w:b/>
                <w:bCs/>
              </w:rPr>
            </w:pPr>
            <w:r>
              <w:rPr>
                <w:b/>
                <w:bCs/>
              </w:rPr>
              <w:t>6.2.4 Floor Space</w:t>
            </w:r>
          </w:p>
        </w:tc>
        <w:tc>
          <w:tcPr>
            <w:tcW w:w="5103" w:type="dxa"/>
            <w:shd w:val="clear" w:color="auto" w:fill="B7B7B9" w:themeFill="accent2" w:themeFillTint="66"/>
          </w:tcPr>
          <w:p w14:paraId="2A28B03A" w14:textId="77777777" w:rsidR="0008159C" w:rsidRDefault="0008159C" w:rsidP="0008159C">
            <w:pPr>
              <w:pStyle w:val="TableText"/>
            </w:pPr>
          </w:p>
        </w:tc>
        <w:tc>
          <w:tcPr>
            <w:tcW w:w="4931" w:type="dxa"/>
            <w:shd w:val="clear" w:color="auto" w:fill="B7B7B9" w:themeFill="accent2" w:themeFillTint="66"/>
          </w:tcPr>
          <w:p w14:paraId="75FD5811" w14:textId="77777777" w:rsidR="0008159C" w:rsidRDefault="0008159C" w:rsidP="0008159C">
            <w:pPr>
              <w:pStyle w:val="TableText"/>
            </w:pPr>
          </w:p>
        </w:tc>
      </w:tr>
      <w:tr w:rsidR="0008159C" w14:paraId="0B11B4C7" w14:textId="77777777" w:rsidTr="00FA4E31">
        <w:tc>
          <w:tcPr>
            <w:tcW w:w="4536" w:type="dxa"/>
            <w:shd w:val="clear" w:color="auto" w:fill="FFFFFF" w:themeFill="background1"/>
          </w:tcPr>
          <w:p w14:paraId="7434A36B" w14:textId="676F5942" w:rsidR="0008159C" w:rsidRDefault="0008159C" w:rsidP="0008159C">
            <w:pPr>
              <w:pStyle w:val="TableText"/>
            </w:pPr>
            <w:r>
              <w:t>a) Floor space ratios of development need to comply with clause 4.4 and Floor Space Ratio Map – FSR_005 of Queanbeyan Local Environmental Plan 2012.</w:t>
            </w:r>
          </w:p>
        </w:tc>
        <w:tc>
          <w:tcPr>
            <w:tcW w:w="5103" w:type="dxa"/>
            <w:vMerge w:val="restart"/>
            <w:shd w:val="clear" w:color="auto" w:fill="FFFFFF" w:themeFill="background1"/>
          </w:tcPr>
          <w:p w14:paraId="226E28B3" w14:textId="112666B5" w:rsidR="0008159C" w:rsidRDefault="0008159C" w:rsidP="0008159C">
            <w:pPr>
              <w:pStyle w:val="TableText"/>
            </w:pPr>
            <w:r w:rsidRPr="00B77F92">
              <w:t>A total gross floor area of 9,207m</w:t>
            </w:r>
            <w:r w:rsidRPr="00B77F92">
              <w:rPr>
                <w:rFonts w:cstheme="minorHAnsi"/>
              </w:rPr>
              <w:t>²</w:t>
            </w:r>
            <w:r w:rsidRPr="00B77F92">
              <w:t xml:space="preserve"> is indicated, representing a FSR of 0.73:1 based on site area of 12,533m</w:t>
            </w:r>
            <w:r w:rsidRPr="00B77F92">
              <w:rPr>
                <w:rFonts w:cstheme="minorHAnsi"/>
              </w:rPr>
              <w:t>²</w:t>
            </w:r>
            <w:r w:rsidRPr="00B77F92">
              <w:t>.</w:t>
            </w:r>
          </w:p>
        </w:tc>
        <w:tc>
          <w:tcPr>
            <w:tcW w:w="4931" w:type="dxa"/>
            <w:vMerge w:val="restart"/>
            <w:shd w:val="clear" w:color="auto" w:fill="FFFFFF" w:themeFill="background1"/>
          </w:tcPr>
          <w:p w14:paraId="31309DBD" w14:textId="77777777" w:rsidR="0008159C" w:rsidRPr="00B77F92" w:rsidRDefault="0008159C" w:rsidP="0008159C">
            <w:pPr>
              <w:pStyle w:val="TableText"/>
              <w:rPr>
                <w:b/>
                <w:bCs/>
              </w:rPr>
            </w:pPr>
            <w:r w:rsidRPr="00B77F92">
              <w:rPr>
                <w:b/>
                <w:bCs/>
              </w:rPr>
              <w:t>Complies</w:t>
            </w:r>
          </w:p>
          <w:p w14:paraId="771C12FF" w14:textId="6E7FA02C" w:rsidR="0008159C" w:rsidRDefault="0008159C" w:rsidP="0008159C">
            <w:pPr>
              <w:pStyle w:val="TableText"/>
            </w:pPr>
          </w:p>
        </w:tc>
      </w:tr>
      <w:tr w:rsidR="0008159C" w14:paraId="58B517BB" w14:textId="77777777" w:rsidTr="00B359C9">
        <w:tc>
          <w:tcPr>
            <w:tcW w:w="4536" w:type="dxa"/>
            <w:tcBorders>
              <w:bottom w:val="single" w:sz="4" w:space="0" w:color="4E4E50" w:themeColor="accent2"/>
            </w:tcBorders>
            <w:shd w:val="clear" w:color="auto" w:fill="FFFFFF" w:themeFill="background1"/>
          </w:tcPr>
          <w:p w14:paraId="583A6D39" w14:textId="3BD71870" w:rsidR="0008159C" w:rsidRDefault="0008159C" w:rsidP="0008159C">
            <w:pPr>
              <w:pStyle w:val="TableText"/>
            </w:pPr>
            <w:r>
              <w:t>b) A maximum Floor Space Ratio of 3:1 is permitted for the mixed use buildings in Zone B3 Commercial core which applies to the Central Business District.</w:t>
            </w:r>
          </w:p>
        </w:tc>
        <w:tc>
          <w:tcPr>
            <w:tcW w:w="5103" w:type="dxa"/>
            <w:vMerge/>
            <w:tcBorders>
              <w:bottom w:val="single" w:sz="4" w:space="0" w:color="4E4E50" w:themeColor="accent2"/>
            </w:tcBorders>
            <w:shd w:val="clear" w:color="auto" w:fill="FFFFFF" w:themeFill="background1"/>
          </w:tcPr>
          <w:p w14:paraId="547CFAD9" w14:textId="77777777" w:rsidR="0008159C" w:rsidRDefault="0008159C" w:rsidP="0008159C">
            <w:pPr>
              <w:pStyle w:val="TableText"/>
            </w:pPr>
          </w:p>
        </w:tc>
        <w:tc>
          <w:tcPr>
            <w:tcW w:w="4931" w:type="dxa"/>
            <w:vMerge/>
            <w:tcBorders>
              <w:bottom w:val="single" w:sz="4" w:space="0" w:color="4E4E50" w:themeColor="accent2"/>
            </w:tcBorders>
            <w:shd w:val="clear" w:color="auto" w:fill="FFFFFF" w:themeFill="background1"/>
          </w:tcPr>
          <w:p w14:paraId="59B03A30" w14:textId="77777777" w:rsidR="0008159C" w:rsidRDefault="0008159C" w:rsidP="0008159C">
            <w:pPr>
              <w:pStyle w:val="TableText"/>
            </w:pPr>
          </w:p>
        </w:tc>
      </w:tr>
      <w:tr w:rsidR="0008159C" w14:paraId="54CC80FF" w14:textId="77777777" w:rsidTr="00B359C9">
        <w:tc>
          <w:tcPr>
            <w:tcW w:w="4536" w:type="dxa"/>
            <w:shd w:val="clear" w:color="auto" w:fill="B7B7B9" w:themeFill="accent2" w:themeFillTint="66"/>
          </w:tcPr>
          <w:p w14:paraId="74DA855B" w14:textId="752F390A" w:rsidR="0008159C" w:rsidRPr="00B359C9" w:rsidRDefault="0008159C" w:rsidP="0008159C">
            <w:pPr>
              <w:pStyle w:val="TableText"/>
              <w:rPr>
                <w:b/>
                <w:bCs/>
              </w:rPr>
            </w:pPr>
            <w:r>
              <w:rPr>
                <w:b/>
                <w:bCs/>
              </w:rPr>
              <w:t>6.2.5 Robust Building Design</w:t>
            </w:r>
          </w:p>
        </w:tc>
        <w:tc>
          <w:tcPr>
            <w:tcW w:w="5103" w:type="dxa"/>
            <w:shd w:val="clear" w:color="auto" w:fill="B7B7B9" w:themeFill="accent2" w:themeFillTint="66"/>
          </w:tcPr>
          <w:p w14:paraId="7E3ADCA8" w14:textId="77777777" w:rsidR="0008159C" w:rsidRDefault="0008159C" w:rsidP="0008159C">
            <w:pPr>
              <w:pStyle w:val="TableText"/>
            </w:pPr>
          </w:p>
        </w:tc>
        <w:tc>
          <w:tcPr>
            <w:tcW w:w="4931" w:type="dxa"/>
            <w:shd w:val="clear" w:color="auto" w:fill="B7B7B9" w:themeFill="accent2" w:themeFillTint="66"/>
          </w:tcPr>
          <w:p w14:paraId="333008C0" w14:textId="77777777" w:rsidR="0008159C" w:rsidRDefault="0008159C" w:rsidP="0008159C">
            <w:pPr>
              <w:pStyle w:val="TableText"/>
            </w:pPr>
          </w:p>
        </w:tc>
      </w:tr>
      <w:tr w:rsidR="0008159C" w14:paraId="07F1DE74" w14:textId="77777777" w:rsidTr="00FA4E31">
        <w:tc>
          <w:tcPr>
            <w:tcW w:w="4536" w:type="dxa"/>
            <w:shd w:val="clear" w:color="auto" w:fill="FFFFFF" w:themeFill="background1"/>
          </w:tcPr>
          <w:p w14:paraId="44F2B981" w14:textId="7F03F8C7" w:rsidR="0008159C" w:rsidRDefault="0008159C" w:rsidP="0008159C">
            <w:pPr>
              <w:pStyle w:val="TableText"/>
            </w:pPr>
            <w:r>
              <w:lastRenderedPageBreak/>
              <w:t>a) Buildings are suited to their purpose, but are designed so as to accommodate a variety of different uses over time, particularly at ground and first levels.</w:t>
            </w:r>
          </w:p>
        </w:tc>
        <w:tc>
          <w:tcPr>
            <w:tcW w:w="5103" w:type="dxa"/>
            <w:shd w:val="clear" w:color="auto" w:fill="FFFFFF" w:themeFill="background1"/>
          </w:tcPr>
          <w:p w14:paraId="56AA2E27" w14:textId="77777777" w:rsidR="0008159C" w:rsidRDefault="0008159C" w:rsidP="0008159C">
            <w:pPr>
              <w:pStyle w:val="TableText"/>
            </w:pPr>
            <w:r>
              <w:t>The proposed development is designed to accommodate a range of uses at ground and first floor levels including; conference space and shop fronts.</w:t>
            </w:r>
          </w:p>
          <w:p w14:paraId="2EC3601B" w14:textId="174C0E1D" w:rsidR="0008159C" w:rsidRDefault="0008159C" w:rsidP="0008159C">
            <w:pPr>
              <w:pStyle w:val="TableText"/>
            </w:pPr>
            <w:r>
              <w:t>4.57 m floor to ceiling heights for ground and first floor will enable flexibility in future use</w:t>
            </w:r>
          </w:p>
        </w:tc>
        <w:tc>
          <w:tcPr>
            <w:tcW w:w="4931" w:type="dxa"/>
            <w:shd w:val="clear" w:color="auto" w:fill="FFFFFF" w:themeFill="background1"/>
          </w:tcPr>
          <w:p w14:paraId="184AC846" w14:textId="30CD7171" w:rsidR="0008159C" w:rsidRPr="00B77F92" w:rsidRDefault="0008159C" w:rsidP="0008159C">
            <w:pPr>
              <w:pStyle w:val="TableText"/>
              <w:rPr>
                <w:b/>
                <w:bCs/>
              </w:rPr>
            </w:pPr>
            <w:r w:rsidRPr="00B77F92">
              <w:rPr>
                <w:b/>
                <w:bCs/>
              </w:rPr>
              <w:t>Complies</w:t>
            </w:r>
          </w:p>
        </w:tc>
      </w:tr>
      <w:tr w:rsidR="0008159C" w14:paraId="713E8CBE" w14:textId="77777777" w:rsidTr="00FA4E31">
        <w:tc>
          <w:tcPr>
            <w:tcW w:w="4536" w:type="dxa"/>
            <w:shd w:val="clear" w:color="auto" w:fill="FFFFFF" w:themeFill="background1"/>
          </w:tcPr>
          <w:p w14:paraId="2689FD69" w14:textId="5F080A0C" w:rsidR="0008159C" w:rsidRDefault="0008159C" w:rsidP="0008159C">
            <w:pPr>
              <w:pStyle w:val="TableText"/>
            </w:pPr>
            <w:r>
              <w:t>b) Adaptive re-use of buildings is encouraged.</w:t>
            </w:r>
          </w:p>
        </w:tc>
        <w:tc>
          <w:tcPr>
            <w:tcW w:w="5103" w:type="dxa"/>
            <w:shd w:val="clear" w:color="auto" w:fill="FFFFFF" w:themeFill="background1"/>
          </w:tcPr>
          <w:p w14:paraId="16CB7ADE" w14:textId="516468F2" w:rsidR="0008159C" w:rsidRDefault="0008159C" w:rsidP="0008159C">
            <w:pPr>
              <w:pStyle w:val="TableText"/>
            </w:pPr>
          </w:p>
        </w:tc>
        <w:tc>
          <w:tcPr>
            <w:tcW w:w="4931" w:type="dxa"/>
            <w:shd w:val="clear" w:color="auto" w:fill="FFFFFF" w:themeFill="background1"/>
          </w:tcPr>
          <w:p w14:paraId="17354256" w14:textId="66BE0ABA" w:rsidR="0008159C" w:rsidRPr="00B77F92" w:rsidRDefault="0008159C" w:rsidP="0008159C">
            <w:pPr>
              <w:pStyle w:val="TableText"/>
              <w:rPr>
                <w:b/>
                <w:bCs/>
              </w:rPr>
            </w:pPr>
            <w:r w:rsidRPr="00B77F92">
              <w:rPr>
                <w:b/>
                <w:bCs/>
              </w:rPr>
              <w:t>Not applicable</w:t>
            </w:r>
          </w:p>
        </w:tc>
      </w:tr>
      <w:tr w:rsidR="0008159C" w14:paraId="04E2617D" w14:textId="77777777" w:rsidTr="00B359C9">
        <w:tc>
          <w:tcPr>
            <w:tcW w:w="4536" w:type="dxa"/>
            <w:tcBorders>
              <w:bottom w:val="single" w:sz="4" w:space="0" w:color="4E4E50" w:themeColor="accent2"/>
            </w:tcBorders>
            <w:shd w:val="clear" w:color="auto" w:fill="FFFFFF" w:themeFill="background1"/>
          </w:tcPr>
          <w:p w14:paraId="029C5041" w14:textId="3080B9F3" w:rsidR="0008159C" w:rsidRDefault="0008159C" w:rsidP="0008159C">
            <w:pPr>
              <w:pStyle w:val="TableText"/>
            </w:pPr>
            <w:r>
              <w:t>c) A proportion of residential dwellings have layout and access that adapts to changing needs of residents over time.</w:t>
            </w:r>
          </w:p>
        </w:tc>
        <w:tc>
          <w:tcPr>
            <w:tcW w:w="5103" w:type="dxa"/>
            <w:tcBorders>
              <w:bottom w:val="single" w:sz="4" w:space="0" w:color="4E4E50" w:themeColor="accent2"/>
            </w:tcBorders>
            <w:shd w:val="clear" w:color="auto" w:fill="FFFFFF" w:themeFill="background1"/>
          </w:tcPr>
          <w:p w14:paraId="41BF8583" w14:textId="0E6E2B00" w:rsidR="0008159C" w:rsidRDefault="0008159C" w:rsidP="0008159C">
            <w:pPr>
              <w:pStyle w:val="TableText"/>
            </w:pPr>
            <w:r>
              <w:t>Not applicable</w:t>
            </w:r>
          </w:p>
        </w:tc>
        <w:tc>
          <w:tcPr>
            <w:tcW w:w="4931" w:type="dxa"/>
            <w:tcBorders>
              <w:bottom w:val="single" w:sz="4" w:space="0" w:color="4E4E50" w:themeColor="accent2"/>
            </w:tcBorders>
            <w:shd w:val="clear" w:color="auto" w:fill="FFFFFF" w:themeFill="background1"/>
          </w:tcPr>
          <w:p w14:paraId="6B71B966" w14:textId="4A155630" w:rsidR="0008159C" w:rsidRPr="00B77F92" w:rsidRDefault="0008159C" w:rsidP="0008159C">
            <w:pPr>
              <w:pStyle w:val="TableText"/>
              <w:rPr>
                <w:b/>
                <w:bCs/>
              </w:rPr>
            </w:pPr>
            <w:r w:rsidRPr="00B77F92">
              <w:rPr>
                <w:b/>
                <w:bCs/>
              </w:rPr>
              <w:t>Not applicable</w:t>
            </w:r>
          </w:p>
        </w:tc>
      </w:tr>
      <w:tr w:rsidR="0008159C" w14:paraId="4C9A4371" w14:textId="77777777" w:rsidTr="00B359C9">
        <w:tc>
          <w:tcPr>
            <w:tcW w:w="4536" w:type="dxa"/>
            <w:shd w:val="clear" w:color="auto" w:fill="B7B7B9" w:themeFill="accent2" w:themeFillTint="66"/>
          </w:tcPr>
          <w:p w14:paraId="6958F2E7" w14:textId="16CBD6FE" w:rsidR="0008159C" w:rsidRPr="00B359C9" w:rsidRDefault="0008159C" w:rsidP="0008159C">
            <w:pPr>
              <w:pStyle w:val="TableText"/>
              <w:rPr>
                <w:b/>
                <w:bCs/>
              </w:rPr>
            </w:pPr>
            <w:r>
              <w:rPr>
                <w:b/>
                <w:bCs/>
              </w:rPr>
              <w:t>6.2.7 Awnings and Verandahs</w:t>
            </w:r>
          </w:p>
        </w:tc>
        <w:tc>
          <w:tcPr>
            <w:tcW w:w="5103" w:type="dxa"/>
            <w:shd w:val="clear" w:color="auto" w:fill="B7B7B9" w:themeFill="accent2" w:themeFillTint="66"/>
          </w:tcPr>
          <w:p w14:paraId="146B7F0F" w14:textId="77777777" w:rsidR="0008159C" w:rsidRDefault="0008159C" w:rsidP="0008159C">
            <w:pPr>
              <w:pStyle w:val="TableText"/>
            </w:pPr>
          </w:p>
        </w:tc>
        <w:tc>
          <w:tcPr>
            <w:tcW w:w="4931" w:type="dxa"/>
            <w:shd w:val="clear" w:color="auto" w:fill="B7B7B9" w:themeFill="accent2" w:themeFillTint="66"/>
          </w:tcPr>
          <w:p w14:paraId="7AF60E94" w14:textId="77777777" w:rsidR="0008159C" w:rsidRDefault="0008159C" w:rsidP="0008159C">
            <w:pPr>
              <w:pStyle w:val="TableText"/>
            </w:pPr>
          </w:p>
        </w:tc>
      </w:tr>
      <w:tr w:rsidR="0008159C" w14:paraId="33829B49" w14:textId="77777777" w:rsidTr="00FA4E31">
        <w:tc>
          <w:tcPr>
            <w:tcW w:w="4536" w:type="dxa"/>
            <w:shd w:val="clear" w:color="auto" w:fill="FFFFFF" w:themeFill="background1"/>
          </w:tcPr>
          <w:p w14:paraId="3090136A" w14:textId="6F01EC8F" w:rsidR="0008159C" w:rsidRDefault="0008159C" w:rsidP="0008159C">
            <w:pPr>
              <w:pStyle w:val="TableText"/>
            </w:pPr>
            <w:r>
              <w:t>a) Continuous street frontage awnings are to be provided for all new developments</w:t>
            </w:r>
          </w:p>
        </w:tc>
        <w:tc>
          <w:tcPr>
            <w:tcW w:w="5103" w:type="dxa"/>
            <w:shd w:val="clear" w:color="auto" w:fill="FFFFFF" w:themeFill="background1"/>
          </w:tcPr>
          <w:p w14:paraId="22458634" w14:textId="77777777" w:rsidR="0008159C" w:rsidRDefault="0008159C" w:rsidP="0008159C">
            <w:pPr>
              <w:pStyle w:val="TableText"/>
            </w:pPr>
          </w:p>
        </w:tc>
        <w:tc>
          <w:tcPr>
            <w:tcW w:w="4931" w:type="dxa"/>
            <w:shd w:val="clear" w:color="auto" w:fill="FFFFFF" w:themeFill="background1"/>
          </w:tcPr>
          <w:p w14:paraId="592B1E63" w14:textId="77777777" w:rsidR="0008159C" w:rsidRDefault="0008159C" w:rsidP="0008159C">
            <w:pPr>
              <w:pStyle w:val="TableText"/>
            </w:pPr>
            <w:r w:rsidRPr="00983A34">
              <w:rPr>
                <w:b/>
                <w:bCs/>
              </w:rPr>
              <w:t>Complies</w:t>
            </w:r>
            <w:r>
              <w:t>.</w:t>
            </w:r>
          </w:p>
          <w:p w14:paraId="603A314F" w14:textId="246D8A69" w:rsidR="0008159C" w:rsidRDefault="0008159C" w:rsidP="0008159C">
            <w:pPr>
              <w:pStyle w:val="TableText"/>
            </w:pPr>
            <w:r>
              <w:t xml:space="preserve">The proposed development does not have continuous street frontage. However, </w:t>
            </w:r>
            <w:r w:rsidR="00B1092C">
              <w:t xml:space="preserve">the building design incorporates overhangs to provide weather protection. </w:t>
            </w:r>
          </w:p>
        </w:tc>
      </w:tr>
      <w:tr w:rsidR="0008159C" w14:paraId="21FD8A67" w14:textId="77777777" w:rsidTr="00FA4E31">
        <w:tc>
          <w:tcPr>
            <w:tcW w:w="4536" w:type="dxa"/>
            <w:shd w:val="clear" w:color="auto" w:fill="FFFFFF" w:themeFill="background1"/>
          </w:tcPr>
          <w:p w14:paraId="5C0D4FED" w14:textId="425F4E4A" w:rsidR="0008159C" w:rsidRDefault="0008159C" w:rsidP="0008159C">
            <w:pPr>
              <w:pStyle w:val="TableText"/>
            </w:pPr>
            <w:r>
              <w:t>b) Awnings (or overhangs or verandahs) are provided to shape the pedestrian space on the street and to provide for all weather cover.</w:t>
            </w:r>
          </w:p>
        </w:tc>
        <w:tc>
          <w:tcPr>
            <w:tcW w:w="5103" w:type="dxa"/>
            <w:shd w:val="clear" w:color="auto" w:fill="FFFFFF" w:themeFill="background1"/>
          </w:tcPr>
          <w:p w14:paraId="05C0277E" w14:textId="77777777" w:rsidR="0008159C" w:rsidRDefault="0008159C" w:rsidP="0008159C">
            <w:pPr>
              <w:pStyle w:val="TableText"/>
            </w:pPr>
          </w:p>
        </w:tc>
        <w:tc>
          <w:tcPr>
            <w:tcW w:w="4931" w:type="dxa"/>
            <w:shd w:val="clear" w:color="auto" w:fill="FFFFFF" w:themeFill="background1"/>
          </w:tcPr>
          <w:p w14:paraId="20869079" w14:textId="77777777" w:rsidR="0008159C" w:rsidRPr="00ED5C7B" w:rsidRDefault="0008159C" w:rsidP="0008159C">
            <w:pPr>
              <w:pStyle w:val="TableText"/>
              <w:rPr>
                <w:b/>
                <w:bCs/>
              </w:rPr>
            </w:pPr>
            <w:r w:rsidRPr="00ED5C7B">
              <w:rPr>
                <w:b/>
                <w:bCs/>
              </w:rPr>
              <w:t>Complies.</w:t>
            </w:r>
          </w:p>
          <w:p w14:paraId="37B7D1EF" w14:textId="6C0F26F2" w:rsidR="0008159C" w:rsidRDefault="0008159C" w:rsidP="0008159C">
            <w:pPr>
              <w:pStyle w:val="TableText"/>
            </w:pPr>
            <w:r>
              <w:t>Building entrances and pedestrian spaces are covered by building overhangs.</w:t>
            </w:r>
          </w:p>
        </w:tc>
      </w:tr>
      <w:tr w:rsidR="0008159C" w14:paraId="1200D52B" w14:textId="77777777" w:rsidTr="00FA4E31">
        <w:tc>
          <w:tcPr>
            <w:tcW w:w="4536" w:type="dxa"/>
            <w:shd w:val="clear" w:color="auto" w:fill="FFFFFF" w:themeFill="background1"/>
          </w:tcPr>
          <w:p w14:paraId="0D6D9E41" w14:textId="56754A14" w:rsidR="0008159C" w:rsidRDefault="0008159C" w:rsidP="0008159C">
            <w:pPr>
              <w:pStyle w:val="TableText"/>
            </w:pPr>
            <w:r>
              <w:t>c) Awnings are consistent in height to adjoining existing awnings, and of a complementary design, colour, or material.</w:t>
            </w:r>
          </w:p>
        </w:tc>
        <w:tc>
          <w:tcPr>
            <w:tcW w:w="5103" w:type="dxa"/>
            <w:shd w:val="clear" w:color="auto" w:fill="FFFFFF" w:themeFill="background1"/>
          </w:tcPr>
          <w:p w14:paraId="415CD2D1" w14:textId="77777777" w:rsidR="0008159C" w:rsidRDefault="0008159C" w:rsidP="0008159C">
            <w:pPr>
              <w:pStyle w:val="TableText"/>
            </w:pPr>
          </w:p>
        </w:tc>
        <w:tc>
          <w:tcPr>
            <w:tcW w:w="4931" w:type="dxa"/>
            <w:shd w:val="clear" w:color="auto" w:fill="FFFFFF" w:themeFill="background1"/>
          </w:tcPr>
          <w:p w14:paraId="08347666" w14:textId="77777777" w:rsidR="0008159C" w:rsidRPr="00ED5C7B" w:rsidRDefault="0008159C" w:rsidP="0008159C">
            <w:pPr>
              <w:pStyle w:val="TableText"/>
              <w:rPr>
                <w:b/>
                <w:bCs/>
              </w:rPr>
            </w:pPr>
            <w:r w:rsidRPr="00ED5C7B">
              <w:rPr>
                <w:b/>
                <w:bCs/>
              </w:rPr>
              <w:t>No applicable.</w:t>
            </w:r>
          </w:p>
          <w:p w14:paraId="21108667" w14:textId="21C244E8" w:rsidR="0008159C" w:rsidRDefault="0008159C" w:rsidP="0008159C">
            <w:pPr>
              <w:pStyle w:val="TableText"/>
            </w:pPr>
            <w:r>
              <w:t xml:space="preserve">Adjacent buildings are heritage items and have no established awning height. </w:t>
            </w:r>
          </w:p>
        </w:tc>
      </w:tr>
      <w:tr w:rsidR="0008159C" w14:paraId="5C0835E6" w14:textId="77777777" w:rsidTr="00FA4E31">
        <w:tc>
          <w:tcPr>
            <w:tcW w:w="4536" w:type="dxa"/>
            <w:shd w:val="clear" w:color="auto" w:fill="FFFFFF" w:themeFill="background1"/>
          </w:tcPr>
          <w:p w14:paraId="27FAF0C4" w14:textId="109FBF21" w:rsidR="0008159C" w:rsidRDefault="0008159C" w:rsidP="0008159C">
            <w:pPr>
              <w:pStyle w:val="TableText"/>
            </w:pPr>
            <w:r>
              <w:t>d) As an indicative standard, where no awning line has yet been established, awnings should be a minimum of 3.3m above ground level (consistent with minimum ground floor height) and minimum setback of 600mm from the curbline. They should match the existing proportions of the existing verandahs in Monaro Street.</w:t>
            </w:r>
          </w:p>
        </w:tc>
        <w:tc>
          <w:tcPr>
            <w:tcW w:w="5103" w:type="dxa"/>
            <w:shd w:val="clear" w:color="auto" w:fill="FFFFFF" w:themeFill="background1"/>
          </w:tcPr>
          <w:p w14:paraId="60F34A9F" w14:textId="4D86201B" w:rsidR="0008159C" w:rsidRDefault="0008159C" w:rsidP="0008159C">
            <w:pPr>
              <w:pStyle w:val="TableText"/>
            </w:pPr>
            <w:r>
              <w:t>The awning provided to Crawford Street frontage at a height of 3.57m above ground level and is setback greater than 600mm from kerb</w:t>
            </w:r>
          </w:p>
        </w:tc>
        <w:tc>
          <w:tcPr>
            <w:tcW w:w="4931" w:type="dxa"/>
            <w:shd w:val="clear" w:color="auto" w:fill="FFFFFF" w:themeFill="background1"/>
          </w:tcPr>
          <w:p w14:paraId="595BD1ED" w14:textId="77777777" w:rsidR="0008159C" w:rsidRPr="00266A89" w:rsidRDefault="0008159C" w:rsidP="0008159C">
            <w:pPr>
              <w:pStyle w:val="TableText"/>
              <w:rPr>
                <w:b/>
                <w:bCs/>
              </w:rPr>
            </w:pPr>
            <w:r w:rsidRPr="00266A89">
              <w:rPr>
                <w:b/>
                <w:bCs/>
              </w:rPr>
              <w:t>Complies</w:t>
            </w:r>
          </w:p>
          <w:p w14:paraId="7082912C" w14:textId="65BE875C" w:rsidR="0008159C" w:rsidRPr="00266A89" w:rsidRDefault="0008159C" w:rsidP="0008159C">
            <w:pPr>
              <w:pStyle w:val="TableText"/>
            </w:pPr>
          </w:p>
        </w:tc>
      </w:tr>
      <w:tr w:rsidR="0008159C" w14:paraId="668E9E2F" w14:textId="77777777" w:rsidTr="00FA4E31">
        <w:tc>
          <w:tcPr>
            <w:tcW w:w="4536" w:type="dxa"/>
            <w:shd w:val="clear" w:color="auto" w:fill="FFFFFF" w:themeFill="background1"/>
          </w:tcPr>
          <w:p w14:paraId="100BCBD1" w14:textId="02CDB3AC" w:rsidR="0008159C" w:rsidRDefault="0008159C" w:rsidP="0008159C">
            <w:pPr>
              <w:pStyle w:val="TableText"/>
            </w:pPr>
            <w:r>
              <w:lastRenderedPageBreak/>
              <w:t>e) Two storey verandahs are appropriate where suitable to the proposed building use and location.</w:t>
            </w:r>
          </w:p>
        </w:tc>
        <w:tc>
          <w:tcPr>
            <w:tcW w:w="5103" w:type="dxa"/>
            <w:shd w:val="clear" w:color="auto" w:fill="FFFFFF" w:themeFill="background1"/>
          </w:tcPr>
          <w:p w14:paraId="2F96C8E6" w14:textId="440CF7CB" w:rsidR="0008159C" w:rsidRDefault="0008159C" w:rsidP="0008159C">
            <w:pPr>
              <w:pStyle w:val="TableText"/>
            </w:pPr>
          </w:p>
        </w:tc>
        <w:tc>
          <w:tcPr>
            <w:tcW w:w="4931" w:type="dxa"/>
            <w:shd w:val="clear" w:color="auto" w:fill="FFFFFF" w:themeFill="background1"/>
          </w:tcPr>
          <w:p w14:paraId="5F257F1B" w14:textId="77777777" w:rsidR="0008159C" w:rsidRDefault="0008159C" w:rsidP="0008159C">
            <w:pPr>
              <w:pStyle w:val="TableText"/>
            </w:pPr>
            <w:r w:rsidRPr="00266A89">
              <w:rPr>
                <w:b/>
                <w:bCs/>
              </w:rPr>
              <w:t>Complies</w:t>
            </w:r>
            <w:r>
              <w:t>.</w:t>
            </w:r>
          </w:p>
          <w:p w14:paraId="46A5ED55" w14:textId="5A937363" w:rsidR="0008159C" w:rsidRDefault="0008159C" w:rsidP="0008159C">
            <w:pPr>
              <w:pStyle w:val="TableText"/>
            </w:pPr>
            <w:r>
              <w:t>The mezzanine and building overhang provides suitable areas for weather protection at the building areas.</w:t>
            </w:r>
          </w:p>
        </w:tc>
      </w:tr>
      <w:tr w:rsidR="0008159C" w14:paraId="038A4F7F" w14:textId="77777777" w:rsidTr="00FA4E31">
        <w:tc>
          <w:tcPr>
            <w:tcW w:w="4536" w:type="dxa"/>
            <w:shd w:val="clear" w:color="auto" w:fill="FFFFFF" w:themeFill="background1"/>
          </w:tcPr>
          <w:p w14:paraId="477FEF92" w14:textId="63DC3769" w:rsidR="0008159C" w:rsidRDefault="0008159C" w:rsidP="0008159C">
            <w:pPr>
              <w:pStyle w:val="TableText"/>
            </w:pPr>
            <w:r>
              <w:t>f) Posts used to support the lightweight elements are not dominant, and may consist or profiled metal or timber. Other materials may be acceptable where they appear as lightweight features within the overall streetscape. The second storey balcony/verandah may not be permanently or fully enclosed, except by temporary and transparent materials if required for weather protection.</w:t>
            </w:r>
          </w:p>
        </w:tc>
        <w:tc>
          <w:tcPr>
            <w:tcW w:w="5103" w:type="dxa"/>
            <w:shd w:val="clear" w:color="auto" w:fill="FFFFFF" w:themeFill="background1"/>
          </w:tcPr>
          <w:p w14:paraId="12169A3F" w14:textId="77777777" w:rsidR="0008159C" w:rsidRDefault="0008159C" w:rsidP="0008159C">
            <w:pPr>
              <w:pStyle w:val="TableText"/>
            </w:pPr>
          </w:p>
        </w:tc>
        <w:tc>
          <w:tcPr>
            <w:tcW w:w="4931" w:type="dxa"/>
            <w:shd w:val="clear" w:color="auto" w:fill="FFFFFF" w:themeFill="background1"/>
          </w:tcPr>
          <w:p w14:paraId="53E5084B" w14:textId="77777777" w:rsidR="0008159C" w:rsidRPr="00ED5C7B" w:rsidRDefault="0008159C" w:rsidP="0008159C">
            <w:pPr>
              <w:pStyle w:val="TableText"/>
              <w:rPr>
                <w:b/>
                <w:bCs/>
              </w:rPr>
            </w:pPr>
            <w:r w:rsidRPr="00ED5C7B">
              <w:rPr>
                <w:b/>
                <w:bCs/>
              </w:rPr>
              <w:t>Not applicable.</w:t>
            </w:r>
          </w:p>
          <w:p w14:paraId="08280D13" w14:textId="37001400" w:rsidR="0008159C" w:rsidRDefault="0008159C" w:rsidP="0008159C">
            <w:pPr>
              <w:pStyle w:val="TableText"/>
            </w:pPr>
            <w:r>
              <w:t xml:space="preserve">Building overhangs are supported by structural columns. </w:t>
            </w:r>
          </w:p>
        </w:tc>
      </w:tr>
      <w:tr w:rsidR="0008159C" w14:paraId="5CE5FA6A" w14:textId="77777777" w:rsidTr="00BB78AD">
        <w:tc>
          <w:tcPr>
            <w:tcW w:w="4536" w:type="dxa"/>
            <w:tcBorders>
              <w:bottom w:val="single" w:sz="4" w:space="0" w:color="4E4E50" w:themeColor="accent2"/>
            </w:tcBorders>
            <w:shd w:val="clear" w:color="auto" w:fill="FFFFFF" w:themeFill="background1"/>
          </w:tcPr>
          <w:p w14:paraId="19928CB5" w14:textId="7F5688D6" w:rsidR="0008159C" w:rsidRDefault="0008159C" w:rsidP="0008159C">
            <w:pPr>
              <w:pStyle w:val="TableText"/>
            </w:pPr>
            <w:r>
              <w:t>g) Provide under awning lighting in a consistent manner and/or overall scheme to facilitate night use and to improve public safety recessed into the soffit of the awning or wall mounted into the building.</w:t>
            </w:r>
          </w:p>
        </w:tc>
        <w:tc>
          <w:tcPr>
            <w:tcW w:w="5103" w:type="dxa"/>
            <w:tcBorders>
              <w:bottom w:val="single" w:sz="4" w:space="0" w:color="4E4E50" w:themeColor="accent2"/>
            </w:tcBorders>
            <w:shd w:val="clear" w:color="auto" w:fill="FFFFFF" w:themeFill="background1"/>
          </w:tcPr>
          <w:p w14:paraId="7305654F" w14:textId="77777777" w:rsidR="0008159C" w:rsidRDefault="0008159C" w:rsidP="0008159C">
            <w:pPr>
              <w:pStyle w:val="TableText"/>
            </w:pPr>
            <w:r>
              <w:t>External lighting designed in accordance with:</w:t>
            </w:r>
          </w:p>
          <w:p w14:paraId="39D734CA" w14:textId="77777777" w:rsidR="0008159C" w:rsidRDefault="0008159C" w:rsidP="0008159C">
            <w:pPr>
              <w:pStyle w:val="TableBullet"/>
            </w:pPr>
            <w:r>
              <w:t>AS1158 Part 3.1;</w:t>
            </w:r>
          </w:p>
          <w:p w14:paraId="6DFBAC79" w14:textId="77777777" w:rsidR="0008159C" w:rsidRDefault="0008159C" w:rsidP="0008159C">
            <w:pPr>
              <w:pStyle w:val="TableBullet"/>
            </w:pPr>
            <w:r>
              <w:t>AS1158 Part2;</w:t>
            </w:r>
          </w:p>
          <w:p w14:paraId="262CCB2E" w14:textId="1C760C74" w:rsidR="0008159C" w:rsidRDefault="0008159C" w:rsidP="0008159C">
            <w:pPr>
              <w:pStyle w:val="TableBullet"/>
            </w:pPr>
            <w:r>
              <w:t>AS4282.</w:t>
            </w:r>
          </w:p>
        </w:tc>
        <w:tc>
          <w:tcPr>
            <w:tcW w:w="4931" w:type="dxa"/>
            <w:tcBorders>
              <w:bottom w:val="single" w:sz="4" w:space="0" w:color="4E4E50" w:themeColor="accent2"/>
            </w:tcBorders>
            <w:shd w:val="clear" w:color="auto" w:fill="FFFFFF" w:themeFill="background1"/>
          </w:tcPr>
          <w:p w14:paraId="0300F07C" w14:textId="77777777" w:rsidR="0008159C" w:rsidRPr="00DD239B" w:rsidRDefault="0008159C" w:rsidP="0008159C">
            <w:pPr>
              <w:pStyle w:val="TableText"/>
              <w:rPr>
                <w:b/>
                <w:bCs/>
              </w:rPr>
            </w:pPr>
            <w:r w:rsidRPr="00DD239B">
              <w:rPr>
                <w:b/>
                <w:bCs/>
              </w:rPr>
              <w:t>Complies</w:t>
            </w:r>
          </w:p>
          <w:p w14:paraId="55979B41" w14:textId="28FAE3F8" w:rsidR="0008159C" w:rsidRDefault="0008159C" w:rsidP="0008159C">
            <w:pPr>
              <w:pStyle w:val="TableText"/>
            </w:pPr>
            <w:r>
              <w:t xml:space="preserve">External Lighting Plan includes downlights under awning/overhangs and throughout the site, including pole mounted lighting in the forecourt and public plaza. </w:t>
            </w:r>
          </w:p>
          <w:p w14:paraId="1F7B6BDF" w14:textId="561E771F" w:rsidR="0008159C" w:rsidRDefault="0008159C" w:rsidP="0008159C">
            <w:pPr>
              <w:pStyle w:val="TableText"/>
            </w:pPr>
            <w:r>
              <w:t xml:space="preserve">The External Lighting Plan Includes notes to ensure compliance with relevant Australian Standards. </w:t>
            </w:r>
          </w:p>
        </w:tc>
      </w:tr>
      <w:tr w:rsidR="0008159C" w14:paraId="33512A04" w14:textId="77777777" w:rsidTr="00BB78AD">
        <w:tc>
          <w:tcPr>
            <w:tcW w:w="4536" w:type="dxa"/>
            <w:shd w:val="clear" w:color="auto" w:fill="B7B7B9" w:themeFill="accent2" w:themeFillTint="66"/>
          </w:tcPr>
          <w:p w14:paraId="17730EB3" w14:textId="4011940F" w:rsidR="0008159C" w:rsidRPr="00BB78AD" w:rsidRDefault="0008159C" w:rsidP="0008159C">
            <w:pPr>
              <w:pStyle w:val="TableText"/>
              <w:rPr>
                <w:b/>
                <w:bCs/>
              </w:rPr>
            </w:pPr>
            <w:r>
              <w:rPr>
                <w:b/>
                <w:bCs/>
              </w:rPr>
              <w:t>6.2.8 Active Street Frontages</w:t>
            </w:r>
          </w:p>
        </w:tc>
        <w:tc>
          <w:tcPr>
            <w:tcW w:w="5103" w:type="dxa"/>
            <w:shd w:val="clear" w:color="auto" w:fill="B7B7B9" w:themeFill="accent2" w:themeFillTint="66"/>
          </w:tcPr>
          <w:p w14:paraId="3407966F" w14:textId="77777777" w:rsidR="0008159C" w:rsidRDefault="0008159C" w:rsidP="0008159C">
            <w:pPr>
              <w:pStyle w:val="TableText"/>
            </w:pPr>
          </w:p>
        </w:tc>
        <w:tc>
          <w:tcPr>
            <w:tcW w:w="4931" w:type="dxa"/>
            <w:shd w:val="clear" w:color="auto" w:fill="B7B7B9" w:themeFill="accent2" w:themeFillTint="66"/>
          </w:tcPr>
          <w:p w14:paraId="2222FD03" w14:textId="77777777" w:rsidR="0008159C" w:rsidRDefault="0008159C" w:rsidP="0008159C">
            <w:pPr>
              <w:pStyle w:val="TableText"/>
            </w:pPr>
          </w:p>
        </w:tc>
      </w:tr>
      <w:tr w:rsidR="0008159C" w14:paraId="18CDF55C" w14:textId="77777777" w:rsidTr="00FA4E31">
        <w:tc>
          <w:tcPr>
            <w:tcW w:w="4536" w:type="dxa"/>
            <w:shd w:val="clear" w:color="auto" w:fill="FFFFFF" w:themeFill="background1"/>
          </w:tcPr>
          <w:p w14:paraId="192E5469" w14:textId="7CCA438A" w:rsidR="0008159C" w:rsidRDefault="0008159C" w:rsidP="0008159C">
            <w:pPr>
              <w:pStyle w:val="TableText"/>
            </w:pPr>
            <w:r>
              <w:t>a) The ground floor design of new development within parts of Morisset, Crawford and Monaro Streets is to comply with clause 7.8 Active Street Frontages and the Active Street Frontage Map – Sheet ASF_005A of Queanbeyan Local Environmental Plan 2012.</w:t>
            </w:r>
          </w:p>
        </w:tc>
        <w:tc>
          <w:tcPr>
            <w:tcW w:w="5103" w:type="dxa"/>
            <w:shd w:val="clear" w:color="auto" w:fill="FFFFFF" w:themeFill="background1"/>
          </w:tcPr>
          <w:p w14:paraId="2168FC17" w14:textId="77777777" w:rsidR="0008159C" w:rsidRDefault="0008159C" w:rsidP="0008159C">
            <w:pPr>
              <w:pStyle w:val="TableText"/>
            </w:pPr>
          </w:p>
        </w:tc>
        <w:tc>
          <w:tcPr>
            <w:tcW w:w="4931" w:type="dxa"/>
            <w:shd w:val="clear" w:color="auto" w:fill="FFFFFF" w:themeFill="background1"/>
          </w:tcPr>
          <w:p w14:paraId="01183053" w14:textId="77777777" w:rsidR="0008159C" w:rsidRPr="00DD239B" w:rsidRDefault="0008159C" w:rsidP="0008159C">
            <w:pPr>
              <w:pStyle w:val="TableText"/>
              <w:rPr>
                <w:b/>
                <w:bCs/>
              </w:rPr>
            </w:pPr>
            <w:r w:rsidRPr="00DD239B">
              <w:rPr>
                <w:b/>
                <w:bCs/>
              </w:rPr>
              <w:t>Complies</w:t>
            </w:r>
          </w:p>
          <w:p w14:paraId="539BBDD2" w14:textId="666133C0" w:rsidR="0008159C" w:rsidRDefault="0008159C" w:rsidP="0008159C">
            <w:pPr>
              <w:pStyle w:val="TableText"/>
            </w:pPr>
            <w:r>
              <w:t xml:space="preserve">The proposal has been assessed against Clause 7.8 and is considered to comply. </w:t>
            </w:r>
          </w:p>
        </w:tc>
      </w:tr>
      <w:tr w:rsidR="0008159C" w14:paraId="007C3A2C" w14:textId="77777777" w:rsidTr="00FA4E31">
        <w:tc>
          <w:tcPr>
            <w:tcW w:w="4536" w:type="dxa"/>
            <w:shd w:val="clear" w:color="auto" w:fill="FFFFFF" w:themeFill="background1"/>
          </w:tcPr>
          <w:p w14:paraId="3058289B" w14:textId="200B0A69" w:rsidR="0008159C" w:rsidRDefault="0008159C" w:rsidP="0008159C">
            <w:pPr>
              <w:pStyle w:val="TableText"/>
            </w:pPr>
            <w:r>
              <w:t>b) Active street frontages can be achieved by a combination of the following at street</w:t>
            </w:r>
            <w:r w:rsidR="002C1B22">
              <w:t xml:space="preserve"> </w:t>
            </w:r>
            <w:r>
              <w:t>level:</w:t>
            </w:r>
          </w:p>
          <w:p w14:paraId="411A7DF4" w14:textId="0FB1F35C" w:rsidR="0008159C" w:rsidRDefault="0008159C" w:rsidP="0008159C">
            <w:pPr>
              <w:pStyle w:val="TableText"/>
              <w:numPr>
                <w:ilvl w:val="0"/>
                <w:numId w:val="65"/>
              </w:numPr>
            </w:pPr>
            <w:r>
              <w:t>Entries to retail/commercial uses;</w:t>
            </w:r>
          </w:p>
          <w:p w14:paraId="305EC399" w14:textId="35FA7ED9" w:rsidR="0008159C" w:rsidRDefault="0008159C" w:rsidP="0008159C">
            <w:pPr>
              <w:pStyle w:val="TableText"/>
              <w:numPr>
                <w:ilvl w:val="0"/>
                <w:numId w:val="65"/>
              </w:numPr>
            </w:pPr>
            <w:r>
              <w:t>Well designed shop fronts;</w:t>
            </w:r>
          </w:p>
          <w:p w14:paraId="2FDFB6A1" w14:textId="2D6D3012" w:rsidR="0008159C" w:rsidRDefault="0008159C" w:rsidP="0008159C">
            <w:pPr>
              <w:pStyle w:val="TableText"/>
              <w:numPr>
                <w:ilvl w:val="0"/>
                <w:numId w:val="65"/>
              </w:numPr>
            </w:pPr>
            <w:r>
              <w:lastRenderedPageBreak/>
              <w:t>Glazed entries to residential lobbies on the ground floor associated with shop top housing occupying less than 50% of the street frontage;</w:t>
            </w:r>
          </w:p>
          <w:p w14:paraId="346E0A04" w14:textId="05D913BC" w:rsidR="0008159C" w:rsidRDefault="0008159C" w:rsidP="0008159C">
            <w:pPr>
              <w:pStyle w:val="TableText"/>
              <w:numPr>
                <w:ilvl w:val="0"/>
                <w:numId w:val="65"/>
              </w:numPr>
            </w:pPr>
            <w:r>
              <w:t>Café or restaurant if accompanied by an entry from the street;</w:t>
            </w:r>
          </w:p>
          <w:p w14:paraId="7C8318E3" w14:textId="73D6C160" w:rsidR="0008159C" w:rsidRDefault="0008159C" w:rsidP="0008159C">
            <w:pPr>
              <w:pStyle w:val="TableText"/>
              <w:numPr>
                <w:ilvl w:val="0"/>
                <w:numId w:val="65"/>
              </w:numPr>
            </w:pPr>
            <w:r>
              <w:t>Active office uses such as reception if visible from the street; and</w:t>
            </w:r>
          </w:p>
          <w:p w14:paraId="445F4C6D" w14:textId="3DA900E3" w:rsidR="0008159C" w:rsidRDefault="0008159C" w:rsidP="0008159C">
            <w:pPr>
              <w:pStyle w:val="TableText"/>
              <w:numPr>
                <w:ilvl w:val="0"/>
                <w:numId w:val="65"/>
              </w:numPr>
            </w:pPr>
            <w:r>
              <w:t>Public buildings if accompanied by an entry</w:t>
            </w:r>
          </w:p>
        </w:tc>
        <w:tc>
          <w:tcPr>
            <w:tcW w:w="5103" w:type="dxa"/>
            <w:shd w:val="clear" w:color="auto" w:fill="FFFFFF" w:themeFill="background1"/>
          </w:tcPr>
          <w:p w14:paraId="1703C2F9" w14:textId="5396EA60" w:rsidR="0008159C" w:rsidRDefault="0008159C" w:rsidP="0008159C">
            <w:pPr>
              <w:pStyle w:val="TableText"/>
            </w:pPr>
            <w:r>
              <w:lastRenderedPageBreak/>
              <w:t xml:space="preserve">The Crawford St frontage provides a large forecourt area and entry to the building occupied by QPRC and the Q theatre. </w:t>
            </w:r>
          </w:p>
        </w:tc>
        <w:tc>
          <w:tcPr>
            <w:tcW w:w="4931" w:type="dxa"/>
            <w:shd w:val="clear" w:color="auto" w:fill="FFFFFF" w:themeFill="background1"/>
          </w:tcPr>
          <w:p w14:paraId="3598BCA7" w14:textId="77777777" w:rsidR="0008159C" w:rsidRPr="00DD239B" w:rsidRDefault="0008159C" w:rsidP="0008159C">
            <w:pPr>
              <w:pStyle w:val="TableText"/>
              <w:rPr>
                <w:b/>
                <w:bCs/>
              </w:rPr>
            </w:pPr>
            <w:r w:rsidRPr="00DD239B">
              <w:rPr>
                <w:b/>
                <w:bCs/>
              </w:rPr>
              <w:t>Complies</w:t>
            </w:r>
          </w:p>
          <w:p w14:paraId="36670990" w14:textId="77777777" w:rsidR="002C1B22" w:rsidRDefault="002C1B22" w:rsidP="0008159C">
            <w:pPr>
              <w:pStyle w:val="TableText"/>
            </w:pPr>
            <w:r>
              <w:t xml:space="preserve">The proposal includes a large public forecourt on the Crawford Street frontage to encourage pedestrian activity. It includes a ticket kiosk associated with the Q Theatre. </w:t>
            </w:r>
          </w:p>
          <w:p w14:paraId="065B87FA" w14:textId="36D1C549" w:rsidR="0008159C" w:rsidRDefault="002C1B22" w:rsidP="0008159C">
            <w:pPr>
              <w:pStyle w:val="TableText"/>
            </w:pPr>
            <w:r>
              <w:lastRenderedPageBreak/>
              <w:t xml:space="preserve">The ground floor of the proposed building includes angled walls to direct pedestrians towards the entrance which included active uses such as the Council shopfront and a café. </w:t>
            </w:r>
          </w:p>
        </w:tc>
      </w:tr>
      <w:tr w:rsidR="0008159C" w14:paraId="0FAEA01A" w14:textId="77777777" w:rsidTr="00FA4E31">
        <w:tc>
          <w:tcPr>
            <w:tcW w:w="4536" w:type="dxa"/>
            <w:shd w:val="clear" w:color="auto" w:fill="FFFFFF" w:themeFill="background1"/>
          </w:tcPr>
          <w:p w14:paraId="1F3BE0F2" w14:textId="6DBA756E" w:rsidR="0008159C" w:rsidRDefault="0008159C" w:rsidP="0008159C">
            <w:pPr>
              <w:pStyle w:val="TableText"/>
            </w:pPr>
            <w:r>
              <w:lastRenderedPageBreak/>
              <w:t>c) Pedestrian comfort is provided through safe, well-lit, and sheltered street frontages.</w:t>
            </w:r>
          </w:p>
        </w:tc>
        <w:tc>
          <w:tcPr>
            <w:tcW w:w="5103" w:type="dxa"/>
            <w:shd w:val="clear" w:color="auto" w:fill="FFFFFF" w:themeFill="background1"/>
          </w:tcPr>
          <w:p w14:paraId="5731628E" w14:textId="31071607" w:rsidR="0008159C" w:rsidRDefault="0008159C" w:rsidP="0008159C">
            <w:pPr>
              <w:pStyle w:val="TableText"/>
            </w:pPr>
            <w:r>
              <w:t xml:space="preserve">The Crawford street frontage inclusive of the forecourt area, is designed at the pedestrian scale and maximises pedestrian safety.  </w:t>
            </w:r>
          </w:p>
        </w:tc>
        <w:tc>
          <w:tcPr>
            <w:tcW w:w="4931" w:type="dxa"/>
            <w:shd w:val="clear" w:color="auto" w:fill="FFFFFF" w:themeFill="background1"/>
          </w:tcPr>
          <w:p w14:paraId="781806B8" w14:textId="77777777" w:rsidR="0008159C" w:rsidRPr="00F74326" w:rsidRDefault="0008159C" w:rsidP="0008159C">
            <w:pPr>
              <w:pStyle w:val="TableText"/>
              <w:rPr>
                <w:b/>
                <w:bCs/>
              </w:rPr>
            </w:pPr>
            <w:r w:rsidRPr="00F74326">
              <w:rPr>
                <w:b/>
                <w:bCs/>
              </w:rPr>
              <w:t>Complies</w:t>
            </w:r>
          </w:p>
          <w:p w14:paraId="1C9EB5BC" w14:textId="3EAFC4A7" w:rsidR="0008159C" w:rsidRDefault="0008159C" w:rsidP="0008159C">
            <w:pPr>
              <w:pStyle w:val="TableText"/>
            </w:pPr>
          </w:p>
        </w:tc>
      </w:tr>
      <w:tr w:rsidR="0008159C" w14:paraId="7C536ED7" w14:textId="77777777" w:rsidTr="00FA4E31">
        <w:tc>
          <w:tcPr>
            <w:tcW w:w="4536" w:type="dxa"/>
            <w:shd w:val="clear" w:color="auto" w:fill="FFFFFF" w:themeFill="background1"/>
          </w:tcPr>
          <w:p w14:paraId="00ADA808" w14:textId="2F52485D" w:rsidR="0008159C" w:rsidRDefault="0008159C" w:rsidP="0008159C">
            <w:pPr>
              <w:pStyle w:val="TableText"/>
            </w:pPr>
            <w:r>
              <w:t>d) Roller doors, security grills and other similar devices which obscure shop fronts on either a temporary or permanent basis will not be supported.</w:t>
            </w:r>
          </w:p>
        </w:tc>
        <w:tc>
          <w:tcPr>
            <w:tcW w:w="5103" w:type="dxa"/>
            <w:shd w:val="clear" w:color="auto" w:fill="FFFFFF" w:themeFill="background1"/>
          </w:tcPr>
          <w:p w14:paraId="2113DA27" w14:textId="4CC6A8B2" w:rsidR="0008159C" w:rsidRDefault="0008159C" w:rsidP="0008159C">
            <w:pPr>
              <w:pStyle w:val="TableText"/>
            </w:pPr>
          </w:p>
        </w:tc>
        <w:tc>
          <w:tcPr>
            <w:tcW w:w="4931" w:type="dxa"/>
            <w:shd w:val="clear" w:color="auto" w:fill="FFFFFF" w:themeFill="background1"/>
          </w:tcPr>
          <w:p w14:paraId="766F62DD" w14:textId="77777777" w:rsidR="0008159C" w:rsidRPr="00F74326" w:rsidRDefault="0008159C" w:rsidP="0008159C">
            <w:pPr>
              <w:pStyle w:val="TableText"/>
              <w:rPr>
                <w:b/>
                <w:bCs/>
              </w:rPr>
            </w:pPr>
            <w:r w:rsidRPr="00F74326">
              <w:rPr>
                <w:b/>
                <w:bCs/>
              </w:rPr>
              <w:t>Complies</w:t>
            </w:r>
          </w:p>
          <w:p w14:paraId="11A4DA32" w14:textId="48999ECC" w:rsidR="0008159C" w:rsidRDefault="0008159C" w:rsidP="0008159C">
            <w:pPr>
              <w:pStyle w:val="TableText"/>
            </w:pPr>
            <w:r>
              <w:t>No roller doors are proposed on the Crawford Street frontage. The service lane on the southern elevation</w:t>
            </w:r>
          </w:p>
        </w:tc>
      </w:tr>
      <w:tr w:rsidR="0008159C" w14:paraId="1EFA33B9" w14:textId="77777777" w:rsidTr="00FA4E31">
        <w:tc>
          <w:tcPr>
            <w:tcW w:w="4536" w:type="dxa"/>
            <w:shd w:val="clear" w:color="auto" w:fill="FFFFFF" w:themeFill="background1"/>
          </w:tcPr>
          <w:p w14:paraId="6A109E59" w14:textId="1CE8F42E" w:rsidR="0008159C" w:rsidRDefault="0008159C" w:rsidP="0008159C">
            <w:pPr>
              <w:pStyle w:val="TableText"/>
            </w:pPr>
            <w:r>
              <w:t>e) Active ground floor uses are to be at the same general level as the footpath and be accessible directly from the street</w:t>
            </w:r>
          </w:p>
        </w:tc>
        <w:tc>
          <w:tcPr>
            <w:tcW w:w="5103" w:type="dxa"/>
            <w:shd w:val="clear" w:color="auto" w:fill="FFFFFF" w:themeFill="background1"/>
          </w:tcPr>
          <w:p w14:paraId="1A979E31" w14:textId="77777777" w:rsidR="0008159C" w:rsidRDefault="0008159C" w:rsidP="0008159C">
            <w:pPr>
              <w:pStyle w:val="TableText"/>
            </w:pPr>
          </w:p>
        </w:tc>
        <w:tc>
          <w:tcPr>
            <w:tcW w:w="4931" w:type="dxa"/>
            <w:shd w:val="clear" w:color="auto" w:fill="FFFFFF" w:themeFill="background1"/>
          </w:tcPr>
          <w:p w14:paraId="702A8F8C" w14:textId="77777777" w:rsidR="0008159C" w:rsidRPr="00BE18DA" w:rsidRDefault="0008159C" w:rsidP="0008159C">
            <w:pPr>
              <w:pStyle w:val="TableText"/>
              <w:rPr>
                <w:b/>
                <w:bCs/>
              </w:rPr>
            </w:pPr>
            <w:r w:rsidRPr="00BE18DA">
              <w:rPr>
                <w:b/>
                <w:bCs/>
              </w:rPr>
              <w:t xml:space="preserve">Complies </w:t>
            </w:r>
          </w:p>
          <w:p w14:paraId="459C79D1" w14:textId="3A65D85F" w:rsidR="0008159C" w:rsidRDefault="0008159C" w:rsidP="0008159C">
            <w:pPr>
              <w:pStyle w:val="TableText"/>
            </w:pPr>
          </w:p>
        </w:tc>
      </w:tr>
      <w:tr w:rsidR="0008159C" w14:paraId="1653CDA4" w14:textId="77777777" w:rsidTr="00FA4E31">
        <w:tc>
          <w:tcPr>
            <w:tcW w:w="4536" w:type="dxa"/>
            <w:shd w:val="clear" w:color="auto" w:fill="FFFFFF" w:themeFill="background1"/>
          </w:tcPr>
          <w:p w14:paraId="753282CF" w14:textId="6E146D8A" w:rsidR="0008159C" w:rsidRDefault="0008159C" w:rsidP="0008159C">
            <w:pPr>
              <w:pStyle w:val="TableText"/>
            </w:pPr>
            <w:r>
              <w:t>f) Where car parking is proposed at ground level for new development, it is located behind active uses such as shops, or is disguised by means of screens, landscaping, artwork, or architectural articulation.</w:t>
            </w:r>
          </w:p>
        </w:tc>
        <w:tc>
          <w:tcPr>
            <w:tcW w:w="5103" w:type="dxa"/>
            <w:shd w:val="clear" w:color="auto" w:fill="FFFFFF" w:themeFill="background1"/>
          </w:tcPr>
          <w:p w14:paraId="2DD12D92" w14:textId="77777777" w:rsidR="0008159C" w:rsidRDefault="0008159C" w:rsidP="0008159C">
            <w:pPr>
              <w:pStyle w:val="TableText"/>
            </w:pPr>
          </w:p>
        </w:tc>
        <w:tc>
          <w:tcPr>
            <w:tcW w:w="4931" w:type="dxa"/>
            <w:shd w:val="clear" w:color="auto" w:fill="FFFFFF" w:themeFill="background1"/>
          </w:tcPr>
          <w:p w14:paraId="436EC66A" w14:textId="77777777" w:rsidR="0008159C" w:rsidRPr="00F74326" w:rsidRDefault="0008159C" w:rsidP="0008159C">
            <w:pPr>
              <w:pStyle w:val="TableText"/>
              <w:rPr>
                <w:b/>
                <w:bCs/>
              </w:rPr>
            </w:pPr>
            <w:r w:rsidRPr="00F74326">
              <w:rPr>
                <w:b/>
                <w:bCs/>
              </w:rPr>
              <w:t>Complies</w:t>
            </w:r>
          </w:p>
          <w:p w14:paraId="4CCE02F2" w14:textId="51B19B57" w:rsidR="0008159C" w:rsidRDefault="0008159C" w:rsidP="0008159C">
            <w:pPr>
              <w:pStyle w:val="TableText"/>
            </w:pPr>
            <w:r>
              <w:t xml:space="preserve">Car parking is provided in the basement and in the redesigned Lowe Street Car Park, at the rear of the site. </w:t>
            </w:r>
          </w:p>
        </w:tc>
      </w:tr>
      <w:tr w:rsidR="0008159C" w14:paraId="42A13E9E" w14:textId="77777777" w:rsidTr="00BB78AD">
        <w:tc>
          <w:tcPr>
            <w:tcW w:w="4536" w:type="dxa"/>
            <w:tcBorders>
              <w:bottom w:val="single" w:sz="4" w:space="0" w:color="4E4E50" w:themeColor="accent2"/>
            </w:tcBorders>
            <w:shd w:val="clear" w:color="auto" w:fill="FFFFFF" w:themeFill="background1"/>
          </w:tcPr>
          <w:p w14:paraId="08648774" w14:textId="685F209F" w:rsidR="0008159C" w:rsidRDefault="0008159C" w:rsidP="0008159C">
            <w:pPr>
              <w:pStyle w:val="TableText"/>
            </w:pPr>
            <w:r>
              <w:t>g) Vehicular entrances are minimised and pedestrian safety and awareness of it are promoted through appropriate designs.</w:t>
            </w:r>
          </w:p>
        </w:tc>
        <w:tc>
          <w:tcPr>
            <w:tcW w:w="5103" w:type="dxa"/>
            <w:tcBorders>
              <w:bottom w:val="single" w:sz="4" w:space="0" w:color="4E4E50" w:themeColor="accent2"/>
            </w:tcBorders>
            <w:shd w:val="clear" w:color="auto" w:fill="FFFFFF" w:themeFill="background1"/>
          </w:tcPr>
          <w:p w14:paraId="13AD2650"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1D92861A" w14:textId="77777777" w:rsidR="0008159C" w:rsidRPr="001146E8" w:rsidRDefault="0008159C" w:rsidP="0008159C">
            <w:pPr>
              <w:pStyle w:val="TableText"/>
              <w:rPr>
                <w:b/>
                <w:bCs/>
              </w:rPr>
            </w:pPr>
            <w:r w:rsidRPr="001146E8">
              <w:rPr>
                <w:b/>
                <w:bCs/>
              </w:rPr>
              <w:t>Complies</w:t>
            </w:r>
          </w:p>
          <w:p w14:paraId="6E039FEC" w14:textId="7C18E0D8" w:rsidR="0008159C" w:rsidRDefault="0008159C" w:rsidP="0008159C">
            <w:pPr>
              <w:pStyle w:val="TableText"/>
            </w:pPr>
            <w:r>
              <w:t xml:space="preserve">The proposal demonstrates that pedestrian movement is prioritised along Crawford Street, the northern pedestrian lane and the southern facade interfacing with the public plaza. </w:t>
            </w:r>
          </w:p>
          <w:p w14:paraId="2299E38A" w14:textId="66E4AE67" w:rsidR="0008159C" w:rsidRDefault="0008159C" w:rsidP="0008159C">
            <w:pPr>
              <w:pStyle w:val="TableText"/>
            </w:pPr>
            <w:r>
              <w:t xml:space="preserve">General vehicle access is via a driveway from Rutledge Street. </w:t>
            </w:r>
          </w:p>
          <w:p w14:paraId="74A3953D" w14:textId="2242851F" w:rsidR="0008159C" w:rsidRDefault="0008159C" w:rsidP="0008159C">
            <w:pPr>
              <w:pStyle w:val="TableText"/>
            </w:pPr>
            <w:r>
              <w:lastRenderedPageBreak/>
              <w:t xml:space="preserve">The proposed service lane will have controlled access and be limited to goods delivery and service vehicles. </w:t>
            </w:r>
          </w:p>
        </w:tc>
      </w:tr>
      <w:tr w:rsidR="0008159C" w14:paraId="6D5BEC6F" w14:textId="77777777" w:rsidTr="00BB78AD">
        <w:tc>
          <w:tcPr>
            <w:tcW w:w="4536" w:type="dxa"/>
            <w:shd w:val="clear" w:color="auto" w:fill="B7B7B9" w:themeFill="accent2" w:themeFillTint="66"/>
          </w:tcPr>
          <w:p w14:paraId="29C6F39F" w14:textId="387063BA" w:rsidR="0008159C" w:rsidRPr="00BB78AD" w:rsidRDefault="0008159C" w:rsidP="0008159C">
            <w:pPr>
              <w:pStyle w:val="TableText"/>
              <w:rPr>
                <w:b/>
                <w:bCs/>
              </w:rPr>
            </w:pPr>
            <w:r>
              <w:rPr>
                <w:b/>
                <w:bCs/>
              </w:rPr>
              <w:lastRenderedPageBreak/>
              <w:t>6.2.9 Colour and Materials</w:t>
            </w:r>
          </w:p>
        </w:tc>
        <w:tc>
          <w:tcPr>
            <w:tcW w:w="5103" w:type="dxa"/>
            <w:shd w:val="clear" w:color="auto" w:fill="B7B7B9" w:themeFill="accent2" w:themeFillTint="66"/>
          </w:tcPr>
          <w:p w14:paraId="507CE0F8" w14:textId="77777777" w:rsidR="0008159C" w:rsidRDefault="0008159C" w:rsidP="0008159C">
            <w:pPr>
              <w:pStyle w:val="TableText"/>
            </w:pPr>
          </w:p>
        </w:tc>
        <w:tc>
          <w:tcPr>
            <w:tcW w:w="4931" w:type="dxa"/>
            <w:shd w:val="clear" w:color="auto" w:fill="B7B7B9" w:themeFill="accent2" w:themeFillTint="66"/>
          </w:tcPr>
          <w:p w14:paraId="61CF6B80" w14:textId="77777777" w:rsidR="0008159C" w:rsidRDefault="0008159C" w:rsidP="0008159C">
            <w:pPr>
              <w:pStyle w:val="TableText"/>
            </w:pPr>
          </w:p>
        </w:tc>
      </w:tr>
      <w:tr w:rsidR="0008159C" w14:paraId="50F54C7F" w14:textId="77777777" w:rsidTr="00FA4E31">
        <w:tc>
          <w:tcPr>
            <w:tcW w:w="4536" w:type="dxa"/>
            <w:shd w:val="clear" w:color="auto" w:fill="FFFFFF" w:themeFill="background1"/>
          </w:tcPr>
          <w:p w14:paraId="40191678" w14:textId="00E3CACB" w:rsidR="0008159C" w:rsidRDefault="0008159C" w:rsidP="0008159C">
            <w:pPr>
              <w:pStyle w:val="TableText"/>
            </w:pPr>
            <w:r>
              <w:t>a) Use colours and materials already found in the streetscape.</w:t>
            </w:r>
          </w:p>
        </w:tc>
        <w:tc>
          <w:tcPr>
            <w:tcW w:w="5103" w:type="dxa"/>
            <w:shd w:val="clear" w:color="auto" w:fill="FFFFFF" w:themeFill="background1"/>
          </w:tcPr>
          <w:p w14:paraId="05342DF1" w14:textId="77777777" w:rsidR="0008159C" w:rsidRDefault="0008159C" w:rsidP="0008159C">
            <w:pPr>
              <w:pStyle w:val="TableText"/>
            </w:pPr>
            <w:r>
              <w:t>Face brick and glass will provide a modern interpretation of the existing architectural palate.</w:t>
            </w:r>
          </w:p>
          <w:p w14:paraId="1D7FD47C" w14:textId="32949CCC" w:rsidR="0008159C" w:rsidRDefault="0008159C" w:rsidP="0008159C">
            <w:pPr>
              <w:pStyle w:val="TableText"/>
            </w:pPr>
            <w:r>
              <w:t>Colours are to respond to existing streetscape character and surrounding heritage items.</w:t>
            </w:r>
          </w:p>
        </w:tc>
        <w:tc>
          <w:tcPr>
            <w:tcW w:w="4931" w:type="dxa"/>
            <w:shd w:val="clear" w:color="auto" w:fill="FFFFFF" w:themeFill="background1"/>
          </w:tcPr>
          <w:p w14:paraId="7BBB5BFB" w14:textId="77777777" w:rsidR="0008159C" w:rsidRPr="004C4783" w:rsidRDefault="0008159C" w:rsidP="0008159C">
            <w:pPr>
              <w:pStyle w:val="TableText"/>
              <w:rPr>
                <w:b/>
                <w:bCs/>
              </w:rPr>
            </w:pPr>
            <w:r w:rsidRPr="004C4783">
              <w:rPr>
                <w:b/>
                <w:bCs/>
              </w:rPr>
              <w:t>Complies</w:t>
            </w:r>
          </w:p>
          <w:p w14:paraId="4C07592F" w14:textId="2C2AA9A8" w:rsidR="0008159C" w:rsidRDefault="0008159C" w:rsidP="0008159C">
            <w:pPr>
              <w:pStyle w:val="TableText"/>
            </w:pPr>
          </w:p>
        </w:tc>
      </w:tr>
      <w:tr w:rsidR="0008159C" w14:paraId="57C05FC5" w14:textId="77777777" w:rsidTr="00FA4E31">
        <w:tc>
          <w:tcPr>
            <w:tcW w:w="4536" w:type="dxa"/>
            <w:shd w:val="clear" w:color="auto" w:fill="FFFFFF" w:themeFill="background1"/>
          </w:tcPr>
          <w:p w14:paraId="70E9401E" w14:textId="55D413C7" w:rsidR="0008159C" w:rsidRDefault="0008159C" w:rsidP="0008159C">
            <w:pPr>
              <w:pStyle w:val="TableText"/>
            </w:pPr>
            <w:r>
              <w:t>b) Favoured materials and colours: render lighter neutral colours, darker reveals, strong accents. Further detail on colour is given in the Queanbeyan Main Street Study (Colin Stewart Urban Design 1993) report which may be taken as advisory.</w:t>
            </w:r>
          </w:p>
        </w:tc>
        <w:tc>
          <w:tcPr>
            <w:tcW w:w="5103" w:type="dxa"/>
            <w:shd w:val="clear" w:color="auto" w:fill="FFFFFF" w:themeFill="background1"/>
          </w:tcPr>
          <w:p w14:paraId="3F4DA553" w14:textId="77777777" w:rsidR="0008159C" w:rsidRDefault="0008159C" w:rsidP="0008159C">
            <w:pPr>
              <w:pStyle w:val="TableText"/>
            </w:pPr>
          </w:p>
        </w:tc>
        <w:tc>
          <w:tcPr>
            <w:tcW w:w="4931" w:type="dxa"/>
            <w:shd w:val="clear" w:color="auto" w:fill="FFFFFF" w:themeFill="background1"/>
          </w:tcPr>
          <w:p w14:paraId="29A88F97" w14:textId="77777777" w:rsidR="0008159C" w:rsidRPr="004C4783" w:rsidRDefault="0008159C" w:rsidP="0008159C">
            <w:pPr>
              <w:pStyle w:val="TableText"/>
              <w:rPr>
                <w:b/>
                <w:bCs/>
              </w:rPr>
            </w:pPr>
            <w:r w:rsidRPr="004C4783">
              <w:rPr>
                <w:b/>
                <w:bCs/>
              </w:rPr>
              <w:t>Complies</w:t>
            </w:r>
          </w:p>
          <w:p w14:paraId="20CC46AF" w14:textId="41230540" w:rsidR="0008159C" w:rsidRDefault="0008159C" w:rsidP="0008159C">
            <w:pPr>
              <w:pStyle w:val="TableText"/>
            </w:pPr>
            <w:r>
              <w:t xml:space="preserve">The External Finished Schedule includes neutral colours for metal and concrete finishes. Red brick and dark metal cladding provide contrast accents. </w:t>
            </w:r>
          </w:p>
        </w:tc>
      </w:tr>
      <w:tr w:rsidR="0008159C" w14:paraId="7D2C36A0" w14:textId="77777777" w:rsidTr="00FA4E31">
        <w:tc>
          <w:tcPr>
            <w:tcW w:w="4536" w:type="dxa"/>
            <w:shd w:val="clear" w:color="auto" w:fill="FFFFFF" w:themeFill="background1"/>
          </w:tcPr>
          <w:p w14:paraId="6AB5DF8E" w14:textId="41BD7641" w:rsidR="0008159C" w:rsidRDefault="0008159C" w:rsidP="0008159C">
            <w:pPr>
              <w:pStyle w:val="TableText"/>
            </w:pPr>
            <w:r>
              <w:t>c) Strong primary colours should be limited to accent and highlight.</w:t>
            </w:r>
          </w:p>
        </w:tc>
        <w:tc>
          <w:tcPr>
            <w:tcW w:w="5103" w:type="dxa"/>
            <w:shd w:val="clear" w:color="auto" w:fill="FFFFFF" w:themeFill="background1"/>
          </w:tcPr>
          <w:p w14:paraId="5E4E4325" w14:textId="77777777" w:rsidR="0008159C" w:rsidRDefault="0008159C" w:rsidP="0008159C">
            <w:pPr>
              <w:pStyle w:val="TableText"/>
            </w:pPr>
          </w:p>
        </w:tc>
        <w:tc>
          <w:tcPr>
            <w:tcW w:w="4931" w:type="dxa"/>
            <w:shd w:val="clear" w:color="auto" w:fill="FFFFFF" w:themeFill="background1"/>
          </w:tcPr>
          <w:p w14:paraId="22986E15" w14:textId="77777777" w:rsidR="0008159C" w:rsidRPr="004C4783" w:rsidRDefault="0008159C" w:rsidP="0008159C">
            <w:pPr>
              <w:pStyle w:val="TableText"/>
              <w:rPr>
                <w:b/>
                <w:bCs/>
              </w:rPr>
            </w:pPr>
            <w:r w:rsidRPr="004C4783">
              <w:rPr>
                <w:b/>
                <w:bCs/>
              </w:rPr>
              <w:t>Complies</w:t>
            </w:r>
          </w:p>
          <w:p w14:paraId="7B72C63E" w14:textId="2FA9DD38" w:rsidR="0008159C" w:rsidRDefault="0008159C" w:rsidP="0008159C">
            <w:pPr>
              <w:pStyle w:val="TableText"/>
            </w:pPr>
          </w:p>
        </w:tc>
      </w:tr>
      <w:tr w:rsidR="0008159C" w14:paraId="1111BB75" w14:textId="77777777" w:rsidTr="00FA4E31">
        <w:tc>
          <w:tcPr>
            <w:tcW w:w="4536" w:type="dxa"/>
            <w:shd w:val="clear" w:color="auto" w:fill="FFFFFF" w:themeFill="background1"/>
          </w:tcPr>
          <w:p w14:paraId="43A19052" w14:textId="6C96E4AF" w:rsidR="0008159C" w:rsidRDefault="0008159C" w:rsidP="0008159C">
            <w:pPr>
              <w:pStyle w:val="TableText"/>
            </w:pPr>
            <w:r>
              <w:t>d) Avoid sombre brown/beige colours</w:t>
            </w:r>
          </w:p>
        </w:tc>
        <w:tc>
          <w:tcPr>
            <w:tcW w:w="5103" w:type="dxa"/>
            <w:shd w:val="clear" w:color="auto" w:fill="FFFFFF" w:themeFill="background1"/>
          </w:tcPr>
          <w:p w14:paraId="282A6CA9" w14:textId="77777777" w:rsidR="0008159C" w:rsidRDefault="0008159C" w:rsidP="0008159C">
            <w:pPr>
              <w:pStyle w:val="TableText"/>
            </w:pPr>
          </w:p>
        </w:tc>
        <w:tc>
          <w:tcPr>
            <w:tcW w:w="4931" w:type="dxa"/>
            <w:shd w:val="clear" w:color="auto" w:fill="FFFFFF" w:themeFill="background1"/>
          </w:tcPr>
          <w:p w14:paraId="7E97652F" w14:textId="1F170479" w:rsidR="0008159C" w:rsidRPr="004C4783" w:rsidRDefault="0008159C" w:rsidP="0008159C">
            <w:pPr>
              <w:pStyle w:val="TableText"/>
              <w:rPr>
                <w:b/>
                <w:bCs/>
              </w:rPr>
            </w:pPr>
            <w:r w:rsidRPr="004C4783">
              <w:rPr>
                <w:b/>
                <w:bCs/>
              </w:rPr>
              <w:t>Complies</w:t>
            </w:r>
          </w:p>
        </w:tc>
      </w:tr>
      <w:tr w:rsidR="0008159C" w14:paraId="12E01918" w14:textId="77777777" w:rsidTr="00BB78AD">
        <w:tc>
          <w:tcPr>
            <w:tcW w:w="4536" w:type="dxa"/>
            <w:tcBorders>
              <w:bottom w:val="single" w:sz="4" w:space="0" w:color="4E4E50" w:themeColor="accent2"/>
            </w:tcBorders>
            <w:shd w:val="clear" w:color="auto" w:fill="FFFFFF" w:themeFill="background1"/>
          </w:tcPr>
          <w:p w14:paraId="3E0C146C" w14:textId="6D7E116F" w:rsidR="0008159C" w:rsidRDefault="0008159C" w:rsidP="0008159C">
            <w:pPr>
              <w:pStyle w:val="TableText"/>
            </w:pPr>
            <w:r>
              <w:t>e) Materials not favoured include: metal siding, heavy timber frame, exposed concrete, manganese and klinker brick.</w:t>
            </w:r>
          </w:p>
        </w:tc>
        <w:tc>
          <w:tcPr>
            <w:tcW w:w="5103" w:type="dxa"/>
            <w:tcBorders>
              <w:bottom w:val="single" w:sz="4" w:space="0" w:color="4E4E50" w:themeColor="accent2"/>
            </w:tcBorders>
            <w:shd w:val="clear" w:color="auto" w:fill="FFFFFF" w:themeFill="background1"/>
          </w:tcPr>
          <w:p w14:paraId="70783A6A"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6F6A6B77" w14:textId="77777777" w:rsidR="0008159C" w:rsidRPr="004C4783" w:rsidRDefault="0008159C" w:rsidP="0008159C">
            <w:pPr>
              <w:pStyle w:val="TableText"/>
              <w:rPr>
                <w:b/>
                <w:bCs/>
              </w:rPr>
            </w:pPr>
            <w:r w:rsidRPr="004C4783">
              <w:rPr>
                <w:b/>
                <w:bCs/>
              </w:rPr>
              <w:t xml:space="preserve">Justified inconsistency </w:t>
            </w:r>
          </w:p>
          <w:p w14:paraId="4F65E3C7" w14:textId="4F2605B9" w:rsidR="0008159C" w:rsidRDefault="0008159C" w:rsidP="0008159C">
            <w:pPr>
              <w:pStyle w:val="TableText"/>
            </w:pPr>
            <w:r>
              <w:t>The proposal off form cast concrete for some feature walls and the structural columns. These materials are considered consistent with the overall palette of the building and contribute to the contemporary architectural character of the building.</w:t>
            </w:r>
          </w:p>
        </w:tc>
      </w:tr>
      <w:tr w:rsidR="0008159C" w14:paraId="49F60980" w14:textId="77777777" w:rsidTr="00BB78AD">
        <w:tc>
          <w:tcPr>
            <w:tcW w:w="4536" w:type="dxa"/>
            <w:shd w:val="clear" w:color="auto" w:fill="B7B7B9" w:themeFill="accent2" w:themeFillTint="66"/>
          </w:tcPr>
          <w:p w14:paraId="6482F002" w14:textId="01454BE3" w:rsidR="0008159C" w:rsidRPr="00BB78AD" w:rsidRDefault="0008159C" w:rsidP="0008159C">
            <w:pPr>
              <w:pStyle w:val="TableText"/>
              <w:rPr>
                <w:b/>
                <w:bCs/>
              </w:rPr>
            </w:pPr>
            <w:r>
              <w:rPr>
                <w:b/>
                <w:bCs/>
              </w:rPr>
              <w:t>6.2.11 Open Space and Civic Spaces</w:t>
            </w:r>
          </w:p>
        </w:tc>
        <w:tc>
          <w:tcPr>
            <w:tcW w:w="5103" w:type="dxa"/>
            <w:shd w:val="clear" w:color="auto" w:fill="B7B7B9" w:themeFill="accent2" w:themeFillTint="66"/>
          </w:tcPr>
          <w:p w14:paraId="0E3E6E06" w14:textId="77777777" w:rsidR="0008159C" w:rsidRDefault="0008159C" w:rsidP="0008159C">
            <w:pPr>
              <w:pStyle w:val="TableText"/>
            </w:pPr>
          </w:p>
        </w:tc>
        <w:tc>
          <w:tcPr>
            <w:tcW w:w="4931" w:type="dxa"/>
            <w:shd w:val="clear" w:color="auto" w:fill="B7B7B9" w:themeFill="accent2" w:themeFillTint="66"/>
          </w:tcPr>
          <w:p w14:paraId="0C0F81DF" w14:textId="77777777" w:rsidR="0008159C" w:rsidRDefault="0008159C" w:rsidP="0008159C">
            <w:pPr>
              <w:pStyle w:val="TableText"/>
            </w:pPr>
          </w:p>
        </w:tc>
      </w:tr>
      <w:tr w:rsidR="0008159C" w14:paraId="6D647E7E" w14:textId="77777777" w:rsidTr="00FA4E31">
        <w:tc>
          <w:tcPr>
            <w:tcW w:w="4536" w:type="dxa"/>
            <w:shd w:val="clear" w:color="auto" w:fill="FFFFFF" w:themeFill="background1"/>
          </w:tcPr>
          <w:p w14:paraId="37F33CC0" w14:textId="3182CE9A" w:rsidR="0008159C" w:rsidRDefault="0008159C" w:rsidP="0008159C">
            <w:pPr>
              <w:pStyle w:val="TableText"/>
            </w:pPr>
            <w:r>
              <w:t>a) Opportunities for passive and active recreation are to be provided.</w:t>
            </w:r>
          </w:p>
        </w:tc>
        <w:tc>
          <w:tcPr>
            <w:tcW w:w="5103" w:type="dxa"/>
            <w:vMerge w:val="restart"/>
            <w:shd w:val="clear" w:color="auto" w:fill="FFFFFF" w:themeFill="background1"/>
          </w:tcPr>
          <w:p w14:paraId="096E733D" w14:textId="6BFFFEC5" w:rsidR="0008159C" w:rsidRDefault="0008159C" w:rsidP="0008159C">
            <w:pPr>
              <w:pStyle w:val="TableText"/>
            </w:pPr>
            <w:r>
              <w:t>The public plaza will provide a clear link from Crawford Street to The Q Theatre. The civic plaza to the west of the Public Administration building will provide opportunities for passive and active recreation.</w:t>
            </w:r>
          </w:p>
        </w:tc>
        <w:tc>
          <w:tcPr>
            <w:tcW w:w="4931" w:type="dxa"/>
            <w:vMerge w:val="restart"/>
            <w:shd w:val="clear" w:color="auto" w:fill="FFFFFF" w:themeFill="background1"/>
          </w:tcPr>
          <w:p w14:paraId="6D478FCC" w14:textId="1344E609" w:rsidR="0008159C" w:rsidRPr="008B108A" w:rsidRDefault="0008159C" w:rsidP="0008159C">
            <w:pPr>
              <w:pStyle w:val="TableText"/>
              <w:rPr>
                <w:b/>
                <w:bCs/>
              </w:rPr>
            </w:pPr>
            <w:r w:rsidRPr="008B108A">
              <w:rPr>
                <w:b/>
                <w:bCs/>
              </w:rPr>
              <w:t>Complies</w:t>
            </w:r>
          </w:p>
        </w:tc>
      </w:tr>
      <w:tr w:rsidR="0008159C" w14:paraId="586D01C3" w14:textId="77777777" w:rsidTr="00FA4E31">
        <w:tc>
          <w:tcPr>
            <w:tcW w:w="4536" w:type="dxa"/>
            <w:shd w:val="clear" w:color="auto" w:fill="FFFFFF" w:themeFill="background1"/>
          </w:tcPr>
          <w:p w14:paraId="46223053" w14:textId="6E319D6C" w:rsidR="0008159C" w:rsidRDefault="0008159C" w:rsidP="0008159C">
            <w:pPr>
              <w:pStyle w:val="TableText"/>
            </w:pPr>
            <w:r>
              <w:t>b) Civic areas are designed at selected intervals throughout the City, and are connected by clear links.</w:t>
            </w:r>
          </w:p>
        </w:tc>
        <w:tc>
          <w:tcPr>
            <w:tcW w:w="5103" w:type="dxa"/>
            <w:vMerge/>
            <w:shd w:val="clear" w:color="auto" w:fill="FFFFFF" w:themeFill="background1"/>
          </w:tcPr>
          <w:p w14:paraId="28A4A7DC" w14:textId="77777777" w:rsidR="0008159C" w:rsidRDefault="0008159C" w:rsidP="0008159C">
            <w:pPr>
              <w:pStyle w:val="TableText"/>
            </w:pPr>
          </w:p>
        </w:tc>
        <w:tc>
          <w:tcPr>
            <w:tcW w:w="4931" w:type="dxa"/>
            <w:vMerge/>
            <w:shd w:val="clear" w:color="auto" w:fill="FFFFFF" w:themeFill="background1"/>
          </w:tcPr>
          <w:p w14:paraId="4FC8763E" w14:textId="77777777" w:rsidR="0008159C" w:rsidRDefault="0008159C" w:rsidP="0008159C">
            <w:pPr>
              <w:pStyle w:val="TableText"/>
            </w:pPr>
          </w:p>
        </w:tc>
      </w:tr>
      <w:tr w:rsidR="0008159C" w14:paraId="67E5148A" w14:textId="77777777" w:rsidTr="00FA4E31">
        <w:tc>
          <w:tcPr>
            <w:tcW w:w="4536" w:type="dxa"/>
            <w:shd w:val="clear" w:color="auto" w:fill="FFFFFF" w:themeFill="background1"/>
          </w:tcPr>
          <w:p w14:paraId="2A5FECAC" w14:textId="4040DEF4" w:rsidR="0008159C" w:rsidRDefault="0008159C" w:rsidP="0008159C">
            <w:pPr>
              <w:pStyle w:val="TableText"/>
            </w:pPr>
            <w:r>
              <w:lastRenderedPageBreak/>
              <w:t>c) A Town Square or equivalent space is proposed by the Central Business District Master Plan along Crawford Street, immediately south of its intersection with Monaro Street. Where this is achieved, recognition of contribution to the public purposes may be provided at the discretion of Council, and there may be relaxations to contributions or design provisions as long as the overall and overriding urban design outcomes (such as ‘country town’ character) are achieved or not compromised.</w:t>
            </w:r>
          </w:p>
        </w:tc>
        <w:tc>
          <w:tcPr>
            <w:tcW w:w="5103" w:type="dxa"/>
            <w:shd w:val="clear" w:color="auto" w:fill="FFFFFF" w:themeFill="background1"/>
          </w:tcPr>
          <w:p w14:paraId="3D0759ED" w14:textId="77777777" w:rsidR="0008159C" w:rsidRDefault="0008159C" w:rsidP="0008159C">
            <w:pPr>
              <w:pStyle w:val="TableText"/>
            </w:pPr>
          </w:p>
        </w:tc>
        <w:tc>
          <w:tcPr>
            <w:tcW w:w="4931" w:type="dxa"/>
            <w:shd w:val="clear" w:color="auto" w:fill="FFFFFF" w:themeFill="background1"/>
          </w:tcPr>
          <w:p w14:paraId="410397EC" w14:textId="7F11E397" w:rsidR="0008159C" w:rsidRPr="00EB0E3E" w:rsidRDefault="0008159C" w:rsidP="0008159C">
            <w:pPr>
              <w:pStyle w:val="TableText"/>
              <w:rPr>
                <w:b/>
                <w:bCs/>
              </w:rPr>
            </w:pPr>
            <w:r w:rsidRPr="00EB0E3E">
              <w:rPr>
                <w:b/>
                <w:bCs/>
              </w:rPr>
              <w:t xml:space="preserve">Complies </w:t>
            </w:r>
          </w:p>
          <w:p w14:paraId="641D8176" w14:textId="75033422" w:rsidR="0008159C" w:rsidRDefault="0008159C" w:rsidP="0008159C">
            <w:pPr>
              <w:pStyle w:val="TableText"/>
            </w:pPr>
            <w:r>
              <w:t xml:space="preserve">The proposed development includes the provision of a public forecourt on Crawford Street and the public plaza at the rear of the site. </w:t>
            </w:r>
          </w:p>
          <w:p w14:paraId="5E11B1F6" w14:textId="2C67EA31" w:rsidR="0008159C" w:rsidRDefault="0008159C" w:rsidP="0008159C">
            <w:pPr>
              <w:pStyle w:val="TableText"/>
            </w:pPr>
            <w:r>
              <w:t>The proposal does not include items that recognise individuals or organisations that have contributed to the public purpose.</w:t>
            </w:r>
          </w:p>
        </w:tc>
      </w:tr>
      <w:tr w:rsidR="0008159C" w14:paraId="0EDF21FE" w14:textId="77777777" w:rsidTr="00FA4E31">
        <w:tc>
          <w:tcPr>
            <w:tcW w:w="4536" w:type="dxa"/>
            <w:shd w:val="clear" w:color="auto" w:fill="FFFFFF" w:themeFill="background1"/>
          </w:tcPr>
          <w:p w14:paraId="55157768" w14:textId="0D6A6B54" w:rsidR="0008159C" w:rsidRDefault="0008159C" w:rsidP="0008159C">
            <w:pPr>
              <w:pStyle w:val="TableText"/>
            </w:pPr>
            <w:r>
              <w:t>d) Public open space areas are to be designed to encourage events such as markets, sports, cultural fairs, or community gatherings.</w:t>
            </w:r>
          </w:p>
        </w:tc>
        <w:tc>
          <w:tcPr>
            <w:tcW w:w="5103" w:type="dxa"/>
            <w:shd w:val="clear" w:color="auto" w:fill="FFFFFF" w:themeFill="background1"/>
          </w:tcPr>
          <w:p w14:paraId="3392BFAD" w14:textId="30A25C4A" w:rsidR="0008159C" w:rsidRDefault="0008159C" w:rsidP="0008159C">
            <w:pPr>
              <w:pStyle w:val="TableText"/>
            </w:pPr>
            <w:r>
              <w:t>The design of the public plaza surrounding the public administration building will provide facilities to encourage community use of the public plaza and will assist with activating the area.</w:t>
            </w:r>
          </w:p>
        </w:tc>
        <w:tc>
          <w:tcPr>
            <w:tcW w:w="4931" w:type="dxa"/>
            <w:shd w:val="clear" w:color="auto" w:fill="FFFFFF" w:themeFill="background1"/>
          </w:tcPr>
          <w:p w14:paraId="3613A6A1" w14:textId="77777777" w:rsidR="0008159C" w:rsidRDefault="0008159C" w:rsidP="0008159C">
            <w:pPr>
              <w:pStyle w:val="TableText"/>
              <w:rPr>
                <w:b/>
                <w:bCs/>
              </w:rPr>
            </w:pPr>
            <w:r w:rsidRPr="008B108A">
              <w:rPr>
                <w:b/>
                <w:bCs/>
              </w:rPr>
              <w:t>Complies</w:t>
            </w:r>
          </w:p>
          <w:p w14:paraId="1FD02318" w14:textId="72DD7D0F" w:rsidR="0008159C" w:rsidRPr="008B108A" w:rsidRDefault="0008159C" w:rsidP="0008159C">
            <w:pPr>
              <w:pStyle w:val="TableText"/>
            </w:pPr>
          </w:p>
        </w:tc>
      </w:tr>
      <w:tr w:rsidR="0008159C" w14:paraId="01627DE9" w14:textId="77777777" w:rsidTr="00FA4E31">
        <w:tc>
          <w:tcPr>
            <w:tcW w:w="4536" w:type="dxa"/>
            <w:shd w:val="clear" w:color="auto" w:fill="FFFFFF" w:themeFill="background1"/>
          </w:tcPr>
          <w:p w14:paraId="5228CD2D" w14:textId="42C9A5D6" w:rsidR="0008159C" w:rsidRDefault="0008159C" w:rsidP="0008159C">
            <w:pPr>
              <w:pStyle w:val="TableText"/>
            </w:pPr>
            <w:r>
              <w:t>e) Overshadowing of open space areas is to be minimised, particularly private open space for residential premises.</w:t>
            </w:r>
          </w:p>
        </w:tc>
        <w:tc>
          <w:tcPr>
            <w:tcW w:w="5103" w:type="dxa"/>
            <w:shd w:val="clear" w:color="auto" w:fill="FFFFFF" w:themeFill="background1"/>
          </w:tcPr>
          <w:p w14:paraId="02540CD8" w14:textId="4780147E" w:rsidR="0008159C" w:rsidRDefault="0008159C" w:rsidP="0008159C">
            <w:pPr>
              <w:pStyle w:val="TableText"/>
            </w:pPr>
            <w:r>
              <w:t>Setback of the building beyond 4 storeys to minimise overshadowing.</w:t>
            </w:r>
          </w:p>
        </w:tc>
        <w:tc>
          <w:tcPr>
            <w:tcW w:w="4931" w:type="dxa"/>
            <w:shd w:val="clear" w:color="auto" w:fill="FFFFFF" w:themeFill="background1"/>
          </w:tcPr>
          <w:p w14:paraId="596BFD53" w14:textId="77777777" w:rsidR="0008159C" w:rsidRPr="008B108A" w:rsidRDefault="0008159C" w:rsidP="0008159C">
            <w:pPr>
              <w:pStyle w:val="TableText"/>
              <w:rPr>
                <w:b/>
                <w:bCs/>
              </w:rPr>
            </w:pPr>
            <w:r w:rsidRPr="008B108A">
              <w:rPr>
                <w:b/>
                <w:bCs/>
              </w:rPr>
              <w:t>Complies</w:t>
            </w:r>
          </w:p>
          <w:p w14:paraId="6D7D779C" w14:textId="6428113E" w:rsidR="0008159C" w:rsidRDefault="0008159C" w:rsidP="0008159C">
            <w:pPr>
              <w:pStyle w:val="TableText"/>
            </w:pPr>
            <w:r>
              <w:t>The Shadow Diagram demonstrates minimal overshadowing of the public plaza on the winter solstice. The proposed forecourt benefits from a north east orientation and has minimal overshadowing.</w:t>
            </w:r>
          </w:p>
        </w:tc>
      </w:tr>
      <w:tr w:rsidR="0008159C" w14:paraId="6AEF562C" w14:textId="77777777" w:rsidTr="00BB78AD">
        <w:tc>
          <w:tcPr>
            <w:tcW w:w="4536" w:type="dxa"/>
            <w:tcBorders>
              <w:bottom w:val="single" w:sz="4" w:space="0" w:color="4E4E50" w:themeColor="accent2"/>
            </w:tcBorders>
            <w:shd w:val="clear" w:color="auto" w:fill="FFFFFF" w:themeFill="background1"/>
          </w:tcPr>
          <w:p w14:paraId="7578276F" w14:textId="67D5F924" w:rsidR="0008159C" w:rsidRDefault="0008159C" w:rsidP="0008159C">
            <w:pPr>
              <w:pStyle w:val="TableText"/>
            </w:pPr>
            <w:r>
              <w:t>f) Rooftop areas may be utilised for recreation and open space for employees or residents, but must not be in a form that constitutes GFA or habitable space. Rooftop structures are not to be enclosed and be lightweight in form, and are not to be visible from the street.</w:t>
            </w:r>
          </w:p>
        </w:tc>
        <w:tc>
          <w:tcPr>
            <w:tcW w:w="5103" w:type="dxa"/>
            <w:tcBorders>
              <w:bottom w:val="single" w:sz="4" w:space="0" w:color="4E4E50" w:themeColor="accent2"/>
            </w:tcBorders>
            <w:shd w:val="clear" w:color="auto" w:fill="FFFFFF" w:themeFill="background1"/>
          </w:tcPr>
          <w:p w14:paraId="1D8DC86F" w14:textId="216601FC" w:rsidR="0008159C" w:rsidRDefault="0008159C" w:rsidP="0008159C">
            <w:pPr>
              <w:pStyle w:val="TableText"/>
            </w:pPr>
            <w:r>
              <w:t>Rooftop to provide open space for employees. The rooftop includes an area of 500m² for amenities which are required to facilitate the use of the terrace.</w:t>
            </w:r>
          </w:p>
        </w:tc>
        <w:tc>
          <w:tcPr>
            <w:tcW w:w="4931" w:type="dxa"/>
            <w:tcBorders>
              <w:bottom w:val="single" w:sz="4" w:space="0" w:color="4E4E50" w:themeColor="accent2"/>
            </w:tcBorders>
            <w:shd w:val="clear" w:color="auto" w:fill="FFFFFF" w:themeFill="background1"/>
          </w:tcPr>
          <w:p w14:paraId="24FB71E1" w14:textId="77777777" w:rsidR="0008159C" w:rsidRPr="008B108A" w:rsidRDefault="0008159C" w:rsidP="0008159C">
            <w:pPr>
              <w:pStyle w:val="TableText"/>
              <w:rPr>
                <w:b/>
                <w:bCs/>
              </w:rPr>
            </w:pPr>
            <w:r w:rsidRPr="008B108A">
              <w:rPr>
                <w:b/>
                <w:bCs/>
              </w:rPr>
              <w:t>Complies</w:t>
            </w:r>
          </w:p>
          <w:p w14:paraId="634F0E95" w14:textId="702A61EB" w:rsidR="0008159C" w:rsidRDefault="0008159C" w:rsidP="0008159C">
            <w:pPr>
              <w:pStyle w:val="TableText"/>
            </w:pPr>
          </w:p>
        </w:tc>
      </w:tr>
      <w:tr w:rsidR="0008159C" w14:paraId="38728757" w14:textId="77777777" w:rsidTr="00BB78AD">
        <w:tc>
          <w:tcPr>
            <w:tcW w:w="4536" w:type="dxa"/>
            <w:shd w:val="clear" w:color="auto" w:fill="B7B7B9" w:themeFill="accent2" w:themeFillTint="66"/>
          </w:tcPr>
          <w:p w14:paraId="25F94C99" w14:textId="3B1EC22E" w:rsidR="0008159C" w:rsidRPr="00BB78AD" w:rsidRDefault="0008159C" w:rsidP="0008159C">
            <w:pPr>
              <w:pStyle w:val="TableText"/>
              <w:rPr>
                <w:b/>
                <w:bCs/>
              </w:rPr>
            </w:pPr>
            <w:r>
              <w:rPr>
                <w:b/>
                <w:bCs/>
              </w:rPr>
              <w:t>6.2.12 Streetscapes and Frontage Works</w:t>
            </w:r>
          </w:p>
        </w:tc>
        <w:tc>
          <w:tcPr>
            <w:tcW w:w="5103" w:type="dxa"/>
            <w:shd w:val="clear" w:color="auto" w:fill="B7B7B9" w:themeFill="accent2" w:themeFillTint="66"/>
          </w:tcPr>
          <w:p w14:paraId="67FC3DF4" w14:textId="77777777" w:rsidR="0008159C" w:rsidRDefault="0008159C" w:rsidP="0008159C">
            <w:pPr>
              <w:pStyle w:val="TableText"/>
            </w:pPr>
          </w:p>
        </w:tc>
        <w:tc>
          <w:tcPr>
            <w:tcW w:w="4931" w:type="dxa"/>
            <w:shd w:val="clear" w:color="auto" w:fill="B7B7B9" w:themeFill="accent2" w:themeFillTint="66"/>
          </w:tcPr>
          <w:p w14:paraId="52E1B891" w14:textId="77777777" w:rsidR="0008159C" w:rsidRDefault="0008159C" w:rsidP="0008159C">
            <w:pPr>
              <w:pStyle w:val="TableText"/>
            </w:pPr>
          </w:p>
        </w:tc>
      </w:tr>
      <w:tr w:rsidR="0008159C" w14:paraId="28BBA2B5" w14:textId="77777777" w:rsidTr="00FA4E31">
        <w:tc>
          <w:tcPr>
            <w:tcW w:w="4536" w:type="dxa"/>
            <w:shd w:val="clear" w:color="auto" w:fill="FFFFFF" w:themeFill="background1"/>
          </w:tcPr>
          <w:p w14:paraId="36D53091" w14:textId="5AFFDC69" w:rsidR="0008159C" w:rsidRDefault="0008159C" w:rsidP="0008159C">
            <w:pPr>
              <w:pStyle w:val="TableText"/>
            </w:pPr>
            <w:r>
              <w:t>a) Provide replacement or construction of a full width footpath of suitable finish and in accordance with Councils nominated design materials.</w:t>
            </w:r>
          </w:p>
        </w:tc>
        <w:tc>
          <w:tcPr>
            <w:tcW w:w="5103" w:type="dxa"/>
            <w:shd w:val="clear" w:color="auto" w:fill="FFFFFF" w:themeFill="background1"/>
          </w:tcPr>
          <w:p w14:paraId="2BB4EBB7" w14:textId="17A8BAB0" w:rsidR="0008159C" w:rsidRDefault="0008159C" w:rsidP="0008159C">
            <w:pPr>
              <w:pStyle w:val="TableText"/>
            </w:pPr>
            <w:r>
              <w:t>Footpaths to be upgraded throughout the site to provide safe pedestrian pathways through the laneway and street frontages.</w:t>
            </w:r>
          </w:p>
        </w:tc>
        <w:tc>
          <w:tcPr>
            <w:tcW w:w="4931" w:type="dxa"/>
            <w:shd w:val="clear" w:color="auto" w:fill="FFFFFF" w:themeFill="background1"/>
          </w:tcPr>
          <w:p w14:paraId="5B1C9719" w14:textId="77777777" w:rsidR="0008159C" w:rsidRPr="008B108A" w:rsidRDefault="0008159C" w:rsidP="0008159C">
            <w:pPr>
              <w:pStyle w:val="TableText"/>
              <w:rPr>
                <w:b/>
                <w:bCs/>
              </w:rPr>
            </w:pPr>
            <w:r w:rsidRPr="008B108A">
              <w:rPr>
                <w:b/>
                <w:bCs/>
              </w:rPr>
              <w:t>Complies</w:t>
            </w:r>
          </w:p>
          <w:p w14:paraId="56C3986E" w14:textId="5D4C81CE" w:rsidR="0008159C" w:rsidRDefault="0008159C" w:rsidP="0008159C">
            <w:pPr>
              <w:pStyle w:val="TableText"/>
            </w:pPr>
          </w:p>
        </w:tc>
      </w:tr>
      <w:tr w:rsidR="0008159C" w14:paraId="189B11BC" w14:textId="77777777" w:rsidTr="00FA4E31">
        <w:tc>
          <w:tcPr>
            <w:tcW w:w="4536" w:type="dxa"/>
            <w:shd w:val="clear" w:color="auto" w:fill="FFFFFF" w:themeFill="background1"/>
          </w:tcPr>
          <w:p w14:paraId="7EF7984E" w14:textId="646F8ED5" w:rsidR="0008159C" w:rsidRDefault="0008159C" w:rsidP="0008159C">
            <w:pPr>
              <w:pStyle w:val="TableText"/>
            </w:pPr>
            <w:r>
              <w:lastRenderedPageBreak/>
              <w:t>b) Provide kerb and gutter along the total road frontage of the site, including road shoulder construction where necessary.</w:t>
            </w:r>
          </w:p>
        </w:tc>
        <w:tc>
          <w:tcPr>
            <w:tcW w:w="5103" w:type="dxa"/>
            <w:shd w:val="clear" w:color="auto" w:fill="FFFFFF" w:themeFill="background1"/>
          </w:tcPr>
          <w:p w14:paraId="7B9AE40A" w14:textId="77777777" w:rsidR="0008159C" w:rsidRDefault="0008159C" w:rsidP="0008159C">
            <w:pPr>
              <w:pStyle w:val="TableText"/>
            </w:pPr>
          </w:p>
        </w:tc>
        <w:tc>
          <w:tcPr>
            <w:tcW w:w="4931" w:type="dxa"/>
            <w:shd w:val="clear" w:color="auto" w:fill="FFFFFF" w:themeFill="background1"/>
          </w:tcPr>
          <w:p w14:paraId="68C60698" w14:textId="77777777" w:rsidR="0008159C" w:rsidRPr="008B108A" w:rsidRDefault="0008159C" w:rsidP="0008159C">
            <w:pPr>
              <w:pStyle w:val="TableText"/>
              <w:rPr>
                <w:b/>
                <w:bCs/>
              </w:rPr>
            </w:pPr>
            <w:r w:rsidRPr="008B108A">
              <w:rPr>
                <w:b/>
                <w:bCs/>
              </w:rPr>
              <w:t>Not determined</w:t>
            </w:r>
          </w:p>
          <w:p w14:paraId="002B4FA5" w14:textId="21C3F528" w:rsidR="0008159C" w:rsidRDefault="0008159C" w:rsidP="0008159C">
            <w:pPr>
              <w:pStyle w:val="TableText"/>
            </w:pPr>
            <w:r>
              <w:t>Kerb and gutter treatments along the service lane are unclear in the Civil Works package.</w:t>
            </w:r>
          </w:p>
        </w:tc>
      </w:tr>
      <w:tr w:rsidR="0008159C" w14:paraId="34578DE9" w14:textId="77777777" w:rsidTr="00FA4E31">
        <w:tc>
          <w:tcPr>
            <w:tcW w:w="4536" w:type="dxa"/>
            <w:shd w:val="clear" w:color="auto" w:fill="FFFFFF" w:themeFill="background1"/>
          </w:tcPr>
          <w:p w14:paraId="71FDBF43" w14:textId="5FDDACCD" w:rsidR="0008159C" w:rsidRDefault="0008159C" w:rsidP="0008159C">
            <w:pPr>
              <w:pStyle w:val="TableText"/>
            </w:pPr>
            <w:r>
              <w:t>c) Provide heavy duty vehicle crossing/s where vehicle access is provided.</w:t>
            </w:r>
          </w:p>
        </w:tc>
        <w:tc>
          <w:tcPr>
            <w:tcW w:w="5103" w:type="dxa"/>
            <w:shd w:val="clear" w:color="auto" w:fill="FFFFFF" w:themeFill="background1"/>
          </w:tcPr>
          <w:p w14:paraId="2E9F654D" w14:textId="77777777" w:rsidR="0008159C" w:rsidRDefault="0008159C" w:rsidP="0008159C">
            <w:pPr>
              <w:pStyle w:val="TableText"/>
            </w:pPr>
          </w:p>
        </w:tc>
        <w:tc>
          <w:tcPr>
            <w:tcW w:w="4931" w:type="dxa"/>
            <w:shd w:val="clear" w:color="auto" w:fill="FFFFFF" w:themeFill="background1"/>
          </w:tcPr>
          <w:p w14:paraId="0CEFA04B" w14:textId="77777777" w:rsidR="0008159C" w:rsidRPr="008B108A" w:rsidRDefault="0008159C" w:rsidP="0008159C">
            <w:pPr>
              <w:pStyle w:val="TableText"/>
              <w:rPr>
                <w:b/>
                <w:bCs/>
              </w:rPr>
            </w:pPr>
            <w:r w:rsidRPr="008B108A">
              <w:rPr>
                <w:b/>
                <w:bCs/>
              </w:rPr>
              <w:t>Not determined</w:t>
            </w:r>
          </w:p>
          <w:p w14:paraId="33FE0D78" w14:textId="6610DFE4" w:rsidR="0008159C" w:rsidRDefault="0008159C" w:rsidP="0008159C">
            <w:pPr>
              <w:pStyle w:val="TableText"/>
            </w:pPr>
            <w:r>
              <w:t>Heavy vehicle movements are unclear in the Civil Works package.</w:t>
            </w:r>
          </w:p>
        </w:tc>
      </w:tr>
      <w:tr w:rsidR="0008159C" w14:paraId="1E71B341" w14:textId="77777777" w:rsidTr="00FA4E31">
        <w:tc>
          <w:tcPr>
            <w:tcW w:w="4536" w:type="dxa"/>
            <w:shd w:val="clear" w:color="auto" w:fill="FFFFFF" w:themeFill="background1"/>
          </w:tcPr>
          <w:p w14:paraId="55185CCF" w14:textId="6BBC12F6" w:rsidR="0008159C" w:rsidRDefault="0008159C" w:rsidP="0008159C">
            <w:pPr>
              <w:pStyle w:val="TableText"/>
            </w:pPr>
            <w:r>
              <w:t>d) Before any demolition or construction work is carried out on site Council may require security for the payment of the cost of making any good any damage caused to any Council property as a consequence of the implementation of the consent.</w:t>
            </w:r>
          </w:p>
        </w:tc>
        <w:tc>
          <w:tcPr>
            <w:tcW w:w="5103" w:type="dxa"/>
            <w:shd w:val="clear" w:color="auto" w:fill="FFFFFF" w:themeFill="background1"/>
          </w:tcPr>
          <w:p w14:paraId="22AD614B" w14:textId="38149BFB" w:rsidR="0008159C" w:rsidRDefault="0008159C" w:rsidP="0008159C">
            <w:pPr>
              <w:pStyle w:val="TableText"/>
            </w:pPr>
            <w:r>
              <w:t>-</w:t>
            </w:r>
          </w:p>
        </w:tc>
        <w:tc>
          <w:tcPr>
            <w:tcW w:w="4931" w:type="dxa"/>
            <w:shd w:val="clear" w:color="auto" w:fill="FFFFFF" w:themeFill="background1"/>
          </w:tcPr>
          <w:p w14:paraId="728EF06E" w14:textId="58D6DE88" w:rsidR="0008159C" w:rsidRPr="008B108A" w:rsidRDefault="0008159C" w:rsidP="0008159C">
            <w:pPr>
              <w:pStyle w:val="TableText"/>
              <w:rPr>
                <w:b/>
                <w:bCs/>
              </w:rPr>
            </w:pPr>
            <w:r>
              <w:rPr>
                <w:b/>
                <w:bCs/>
              </w:rPr>
              <w:t>Noted</w:t>
            </w:r>
          </w:p>
          <w:p w14:paraId="707A49E4" w14:textId="306A215E" w:rsidR="0008159C" w:rsidRDefault="0008159C" w:rsidP="0008159C">
            <w:pPr>
              <w:pStyle w:val="TableText"/>
            </w:pPr>
          </w:p>
        </w:tc>
      </w:tr>
      <w:tr w:rsidR="0008159C" w14:paraId="4C61A237" w14:textId="77777777" w:rsidTr="00FA4E31">
        <w:tc>
          <w:tcPr>
            <w:tcW w:w="4536" w:type="dxa"/>
            <w:shd w:val="clear" w:color="auto" w:fill="FFFFFF" w:themeFill="background1"/>
          </w:tcPr>
          <w:p w14:paraId="21950A81" w14:textId="66F43D1D" w:rsidR="0008159C" w:rsidRDefault="0008159C" w:rsidP="0008159C">
            <w:pPr>
              <w:pStyle w:val="TableText"/>
            </w:pPr>
            <w:r>
              <w:t>e) Street tree planting is to be provided and not impeded by any structure such as awnings.</w:t>
            </w:r>
          </w:p>
        </w:tc>
        <w:tc>
          <w:tcPr>
            <w:tcW w:w="5103" w:type="dxa"/>
            <w:shd w:val="clear" w:color="auto" w:fill="FFFFFF" w:themeFill="background1"/>
          </w:tcPr>
          <w:p w14:paraId="6DC0B820" w14:textId="77777777" w:rsidR="0008159C" w:rsidRDefault="0008159C" w:rsidP="0008159C">
            <w:pPr>
              <w:pStyle w:val="TableText"/>
            </w:pPr>
          </w:p>
        </w:tc>
        <w:tc>
          <w:tcPr>
            <w:tcW w:w="4931" w:type="dxa"/>
            <w:shd w:val="clear" w:color="auto" w:fill="FFFFFF" w:themeFill="background1"/>
          </w:tcPr>
          <w:p w14:paraId="6BB850CF" w14:textId="77777777" w:rsidR="0008159C" w:rsidRPr="008B108A" w:rsidRDefault="0008159C" w:rsidP="0008159C">
            <w:pPr>
              <w:pStyle w:val="TableText"/>
              <w:rPr>
                <w:b/>
                <w:bCs/>
              </w:rPr>
            </w:pPr>
            <w:r w:rsidRPr="008B108A">
              <w:rPr>
                <w:b/>
                <w:bCs/>
              </w:rPr>
              <w:t>Complies</w:t>
            </w:r>
          </w:p>
          <w:p w14:paraId="1564857C" w14:textId="6C07EA0D" w:rsidR="0008159C" w:rsidRDefault="0008159C" w:rsidP="0008159C">
            <w:pPr>
              <w:pStyle w:val="TableText"/>
            </w:pPr>
            <w:r>
              <w:t>Tree planting is proposed along the Crawford Street verge and at around the perimeter of the public plaza. These locations do not impede awnings.</w:t>
            </w:r>
          </w:p>
        </w:tc>
      </w:tr>
      <w:tr w:rsidR="0008159C" w14:paraId="786C7A8D" w14:textId="77777777" w:rsidTr="00FA4E31">
        <w:tc>
          <w:tcPr>
            <w:tcW w:w="4536" w:type="dxa"/>
            <w:shd w:val="clear" w:color="auto" w:fill="FFFFFF" w:themeFill="background1"/>
          </w:tcPr>
          <w:p w14:paraId="456925E6" w14:textId="042F71E1" w:rsidR="0008159C" w:rsidRDefault="0008159C" w:rsidP="0008159C">
            <w:pPr>
              <w:pStyle w:val="TableText"/>
            </w:pPr>
            <w:r>
              <w:t>f) Significant tree plantings and boulevards are maintained and protected from new development.</w:t>
            </w:r>
          </w:p>
        </w:tc>
        <w:tc>
          <w:tcPr>
            <w:tcW w:w="5103" w:type="dxa"/>
            <w:shd w:val="clear" w:color="auto" w:fill="FFFFFF" w:themeFill="background1"/>
          </w:tcPr>
          <w:p w14:paraId="6DDFCF34" w14:textId="3B27088F" w:rsidR="0008159C" w:rsidRDefault="0008159C" w:rsidP="0008159C">
            <w:pPr>
              <w:pStyle w:val="TableText"/>
            </w:pPr>
            <w:r>
              <w:t>Existing plantings to be retained in Crawford Street.</w:t>
            </w:r>
          </w:p>
        </w:tc>
        <w:tc>
          <w:tcPr>
            <w:tcW w:w="4931" w:type="dxa"/>
            <w:shd w:val="clear" w:color="auto" w:fill="FFFFFF" w:themeFill="background1"/>
          </w:tcPr>
          <w:p w14:paraId="3E1CF840" w14:textId="7AA28BEE" w:rsidR="0008159C" w:rsidRPr="009F1BC8" w:rsidRDefault="0008159C" w:rsidP="0008159C">
            <w:pPr>
              <w:pStyle w:val="TableText"/>
              <w:rPr>
                <w:b/>
                <w:bCs/>
              </w:rPr>
            </w:pPr>
            <w:r w:rsidRPr="009F1BC8">
              <w:rPr>
                <w:b/>
                <w:bCs/>
              </w:rPr>
              <w:t>Complies</w:t>
            </w:r>
          </w:p>
        </w:tc>
      </w:tr>
      <w:tr w:rsidR="0008159C" w14:paraId="18683174" w14:textId="77777777" w:rsidTr="00FA4E31">
        <w:tc>
          <w:tcPr>
            <w:tcW w:w="4536" w:type="dxa"/>
            <w:shd w:val="clear" w:color="auto" w:fill="FFFFFF" w:themeFill="background1"/>
          </w:tcPr>
          <w:p w14:paraId="6C9825C2" w14:textId="5187A77A" w:rsidR="0008159C" w:rsidRDefault="0008159C" w:rsidP="0008159C">
            <w:pPr>
              <w:pStyle w:val="TableText"/>
            </w:pPr>
            <w:r>
              <w:t>g) Streets are designed to be safe, with minimal obstacles unless for safety purposes.</w:t>
            </w:r>
          </w:p>
        </w:tc>
        <w:tc>
          <w:tcPr>
            <w:tcW w:w="5103" w:type="dxa"/>
            <w:shd w:val="clear" w:color="auto" w:fill="FFFFFF" w:themeFill="background1"/>
          </w:tcPr>
          <w:p w14:paraId="23ED7957" w14:textId="77777777" w:rsidR="0008159C" w:rsidRDefault="0008159C" w:rsidP="0008159C">
            <w:pPr>
              <w:pStyle w:val="TableText"/>
            </w:pPr>
          </w:p>
        </w:tc>
        <w:tc>
          <w:tcPr>
            <w:tcW w:w="4931" w:type="dxa"/>
            <w:shd w:val="clear" w:color="auto" w:fill="FFFFFF" w:themeFill="background1"/>
          </w:tcPr>
          <w:p w14:paraId="74C5FBCA" w14:textId="452CB667" w:rsidR="0008159C" w:rsidRPr="009F1BC8" w:rsidRDefault="002E1F8D" w:rsidP="0008159C">
            <w:pPr>
              <w:pStyle w:val="TableText"/>
              <w:rPr>
                <w:b/>
                <w:bCs/>
              </w:rPr>
            </w:pPr>
            <w:r>
              <w:rPr>
                <w:b/>
                <w:bCs/>
              </w:rPr>
              <w:t>Complies</w:t>
            </w:r>
          </w:p>
          <w:p w14:paraId="53792D87" w14:textId="2F85CFBC" w:rsidR="0008159C" w:rsidRDefault="0008159C" w:rsidP="0008159C">
            <w:pPr>
              <w:pStyle w:val="TableText"/>
            </w:pPr>
            <w:r>
              <w:t xml:space="preserve">The proposed utilises an existing unnamed lane from Rutledge Street for general vehicle access. Pedestrian movement and footpaths are unclear. </w:t>
            </w:r>
          </w:p>
          <w:p w14:paraId="6854CDCD" w14:textId="4563ECDD" w:rsidR="0008159C" w:rsidRDefault="0008159C" w:rsidP="0008159C">
            <w:pPr>
              <w:pStyle w:val="TableText"/>
            </w:pPr>
            <w:r>
              <w:t xml:space="preserve">The proposed service lane from Crawford Street has access control to manage vehicle movements </w:t>
            </w:r>
            <w:r w:rsidR="002E1F8D">
              <w:t>and this can be managed through the operation of the site</w:t>
            </w:r>
            <w:r>
              <w:t xml:space="preserve"> </w:t>
            </w:r>
          </w:p>
        </w:tc>
      </w:tr>
      <w:tr w:rsidR="0008159C" w14:paraId="39634B91" w14:textId="77777777" w:rsidTr="00BB78AD">
        <w:tc>
          <w:tcPr>
            <w:tcW w:w="4536" w:type="dxa"/>
            <w:tcBorders>
              <w:bottom w:val="single" w:sz="4" w:space="0" w:color="4E4E50" w:themeColor="accent2"/>
            </w:tcBorders>
            <w:shd w:val="clear" w:color="auto" w:fill="FFFFFF" w:themeFill="background1"/>
          </w:tcPr>
          <w:p w14:paraId="29A4B192" w14:textId="2588954E" w:rsidR="0008159C" w:rsidRDefault="0008159C" w:rsidP="0008159C">
            <w:pPr>
              <w:pStyle w:val="TableText"/>
            </w:pPr>
            <w:r>
              <w:t>h) Existing mature street plantings in Rutledge, Crawford, Lowe and Morisset Streets are to be retained.</w:t>
            </w:r>
          </w:p>
        </w:tc>
        <w:tc>
          <w:tcPr>
            <w:tcW w:w="5103" w:type="dxa"/>
            <w:tcBorders>
              <w:bottom w:val="single" w:sz="4" w:space="0" w:color="4E4E50" w:themeColor="accent2"/>
            </w:tcBorders>
            <w:shd w:val="clear" w:color="auto" w:fill="FFFFFF" w:themeFill="background1"/>
          </w:tcPr>
          <w:p w14:paraId="2E3D093A" w14:textId="1D45D85C" w:rsidR="0008159C" w:rsidRDefault="0008159C" w:rsidP="0008159C">
            <w:pPr>
              <w:pStyle w:val="TableText"/>
            </w:pPr>
            <w:r>
              <w:t>Existing plantings to be retained in Crawford Street.</w:t>
            </w:r>
          </w:p>
        </w:tc>
        <w:tc>
          <w:tcPr>
            <w:tcW w:w="4931" w:type="dxa"/>
            <w:tcBorders>
              <w:bottom w:val="single" w:sz="4" w:space="0" w:color="4E4E50" w:themeColor="accent2"/>
            </w:tcBorders>
            <w:shd w:val="clear" w:color="auto" w:fill="FFFFFF" w:themeFill="background1"/>
          </w:tcPr>
          <w:p w14:paraId="66CA4572" w14:textId="77777777" w:rsidR="0008159C" w:rsidRDefault="0008159C" w:rsidP="0008159C">
            <w:pPr>
              <w:pStyle w:val="TableText"/>
              <w:rPr>
                <w:b/>
                <w:bCs/>
              </w:rPr>
            </w:pPr>
            <w:r w:rsidRPr="009F1BC8">
              <w:rPr>
                <w:b/>
                <w:bCs/>
              </w:rPr>
              <w:t>Complies</w:t>
            </w:r>
          </w:p>
          <w:p w14:paraId="7697D214" w14:textId="68F7F2D2" w:rsidR="0008159C" w:rsidRPr="009F1BC8" w:rsidRDefault="0008159C" w:rsidP="0008159C">
            <w:pPr>
              <w:pStyle w:val="TableText"/>
            </w:pPr>
            <w:r w:rsidRPr="009F1BC8">
              <w:t>Some</w:t>
            </w:r>
            <w:r>
              <w:t xml:space="preserve"> trees to be removed but overall established street trees on Crawford Street will be retained. </w:t>
            </w:r>
          </w:p>
        </w:tc>
      </w:tr>
      <w:tr w:rsidR="0008159C" w14:paraId="578CE640" w14:textId="77777777" w:rsidTr="00BB78AD">
        <w:tc>
          <w:tcPr>
            <w:tcW w:w="4536" w:type="dxa"/>
            <w:shd w:val="clear" w:color="auto" w:fill="B7B7B9" w:themeFill="accent2" w:themeFillTint="66"/>
          </w:tcPr>
          <w:p w14:paraId="54D67033" w14:textId="7B12F470" w:rsidR="0008159C" w:rsidRPr="00BB78AD" w:rsidRDefault="0008159C" w:rsidP="0008159C">
            <w:pPr>
              <w:pStyle w:val="TableText"/>
              <w:rPr>
                <w:b/>
                <w:bCs/>
              </w:rPr>
            </w:pPr>
            <w:r>
              <w:rPr>
                <w:b/>
                <w:bCs/>
              </w:rPr>
              <w:t>6.2.13 Advertisements and Signage</w:t>
            </w:r>
          </w:p>
        </w:tc>
        <w:tc>
          <w:tcPr>
            <w:tcW w:w="5103" w:type="dxa"/>
            <w:shd w:val="clear" w:color="auto" w:fill="B7B7B9" w:themeFill="accent2" w:themeFillTint="66"/>
          </w:tcPr>
          <w:p w14:paraId="419B41D9" w14:textId="77777777" w:rsidR="0008159C" w:rsidRDefault="0008159C" w:rsidP="0008159C">
            <w:pPr>
              <w:pStyle w:val="TableText"/>
            </w:pPr>
          </w:p>
        </w:tc>
        <w:tc>
          <w:tcPr>
            <w:tcW w:w="4931" w:type="dxa"/>
            <w:shd w:val="clear" w:color="auto" w:fill="B7B7B9" w:themeFill="accent2" w:themeFillTint="66"/>
          </w:tcPr>
          <w:p w14:paraId="7C39FC31" w14:textId="77777777" w:rsidR="0008159C" w:rsidRPr="009F1BC8" w:rsidRDefault="0008159C" w:rsidP="0008159C">
            <w:pPr>
              <w:pStyle w:val="TableText"/>
              <w:rPr>
                <w:b/>
                <w:bCs/>
              </w:rPr>
            </w:pPr>
          </w:p>
        </w:tc>
      </w:tr>
      <w:tr w:rsidR="0008159C" w14:paraId="73463455" w14:textId="77777777" w:rsidTr="00FA4E31">
        <w:tc>
          <w:tcPr>
            <w:tcW w:w="4536" w:type="dxa"/>
            <w:shd w:val="clear" w:color="auto" w:fill="FFFFFF" w:themeFill="background1"/>
          </w:tcPr>
          <w:p w14:paraId="2CDC67CA" w14:textId="269E8159" w:rsidR="0008159C" w:rsidRDefault="0008159C" w:rsidP="0008159C">
            <w:pPr>
              <w:pStyle w:val="TableText"/>
            </w:pPr>
            <w:r>
              <w:lastRenderedPageBreak/>
              <w:t>a) Compliance with the relevant requirements of State Environmental Planning Policy No. 64 – Advertising and Signage for all advertisements and signage other than building identification signs and business identification signs.</w:t>
            </w:r>
          </w:p>
        </w:tc>
        <w:tc>
          <w:tcPr>
            <w:tcW w:w="5103" w:type="dxa"/>
            <w:shd w:val="clear" w:color="auto" w:fill="FFFFFF" w:themeFill="background1"/>
          </w:tcPr>
          <w:p w14:paraId="1E86747F" w14:textId="2377C6FE" w:rsidR="0008159C" w:rsidRDefault="0008159C" w:rsidP="0008159C">
            <w:pPr>
              <w:pStyle w:val="TableText"/>
            </w:pPr>
            <w:r>
              <w:t>The proposed development includes building identification signage for the two tenants within the building. Both tenants will require identification signage as they will directly serve the local community. The Q Theatre and QPRC will have signage for the public entry facing public plaza to Crawford Street.</w:t>
            </w:r>
          </w:p>
        </w:tc>
        <w:tc>
          <w:tcPr>
            <w:tcW w:w="4931" w:type="dxa"/>
            <w:shd w:val="clear" w:color="auto" w:fill="FFFFFF" w:themeFill="background1"/>
          </w:tcPr>
          <w:p w14:paraId="4FA5DF6E" w14:textId="77777777" w:rsidR="0008159C" w:rsidRPr="009F1BC8" w:rsidRDefault="0008159C" w:rsidP="0008159C">
            <w:pPr>
              <w:pStyle w:val="TableText"/>
              <w:rPr>
                <w:b/>
                <w:bCs/>
              </w:rPr>
            </w:pPr>
            <w:r w:rsidRPr="009F1BC8">
              <w:rPr>
                <w:b/>
                <w:bCs/>
              </w:rPr>
              <w:t xml:space="preserve">Complies </w:t>
            </w:r>
          </w:p>
          <w:p w14:paraId="272FE3E3" w14:textId="2A490DDF" w:rsidR="0008159C" w:rsidRPr="009F1BC8" w:rsidRDefault="0008159C" w:rsidP="0008159C">
            <w:pPr>
              <w:pStyle w:val="TableText"/>
              <w:rPr>
                <w:b/>
                <w:bCs/>
              </w:rPr>
            </w:pPr>
          </w:p>
        </w:tc>
      </w:tr>
      <w:tr w:rsidR="0008159C" w14:paraId="35E38E74" w14:textId="77777777" w:rsidTr="00FA4E31">
        <w:tc>
          <w:tcPr>
            <w:tcW w:w="4536" w:type="dxa"/>
            <w:shd w:val="clear" w:color="auto" w:fill="FFFFFF" w:themeFill="background1"/>
          </w:tcPr>
          <w:p w14:paraId="21ECFECE" w14:textId="53A323F2" w:rsidR="0008159C" w:rsidRDefault="0008159C" w:rsidP="0008159C">
            <w:pPr>
              <w:pStyle w:val="TableText"/>
            </w:pPr>
            <w:r>
              <w:t>b) Signage shall be designed in a manner which is compatible with architectural style of the building to which it is affixed or associated.</w:t>
            </w:r>
          </w:p>
        </w:tc>
        <w:tc>
          <w:tcPr>
            <w:tcW w:w="5103" w:type="dxa"/>
            <w:vMerge w:val="restart"/>
            <w:shd w:val="clear" w:color="auto" w:fill="FFFFFF" w:themeFill="background1"/>
          </w:tcPr>
          <w:p w14:paraId="4F4A9FBD" w14:textId="77777777" w:rsidR="0008159C" w:rsidRDefault="0008159C" w:rsidP="0008159C">
            <w:pPr>
              <w:pStyle w:val="TableText"/>
            </w:pPr>
            <w:r>
              <w:t>The proposed signage is compatible with the existing and likely future character of the area which is primarily commercial.</w:t>
            </w:r>
          </w:p>
          <w:p w14:paraId="1BF7D7CA" w14:textId="42FF351B" w:rsidR="0008159C" w:rsidRDefault="0008159C" w:rsidP="0008159C">
            <w:pPr>
              <w:pStyle w:val="TableText"/>
            </w:pPr>
            <w:r>
              <w:t>The signage is integrated into the design of the building and will not detract from the heritage character of the surrounding streetscapes.</w:t>
            </w:r>
          </w:p>
        </w:tc>
        <w:tc>
          <w:tcPr>
            <w:tcW w:w="4931" w:type="dxa"/>
            <w:vMerge w:val="restart"/>
            <w:shd w:val="clear" w:color="auto" w:fill="FFFFFF" w:themeFill="background1"/>
          </w:tcPr>
          <w:p w14:paraId="2F8CDF6E" w14:textId="77777777" w:rsidR="0008159C" w:rsidRPr="009F1BC8" w:rsidRDefault="0008159C" w:rsidP="0008159C">
            <w:pPr>
              <w:pStyle w:val="TableText"/>
              <w:rPr>
                <w:b/>
                <w:bCs/>
              </w:rPr>
            </w:pPr>
            <w:r w:rsidRPr="009F1BC8">
              <w:rPr>
                <w:b/>
                <w:bCs/>
              </w:rPr>
              <w:t>Complies</w:t>
            </w:r>
          </w:p>
          <w:p w14:paraId="0E1E27A5" w14:textId="29795A60" w:rsidR="0008159C" w:rsidRPr="009F1BC8" w:rsidRDefault="0008159C" w:rsidP="0008159C">
            <w:pPr>
              <w:pStyle w:val="TableText"/>
              <w:rPr>
                <w:b/>
                <w:bCs/>
              </w:rPr>
            </w:pPr>
          </w:p>
        </w:tc>
      </w:tr>
      <w:tr w:rsidR="0008159C" w14:paraId="796990BB" w14:textId="77777777" w:rsidTr="00FA4E31">
        <w:tc>
          <w:tcPr>
            <w:tcW w:w="4536" w:type="dxa"/>
            <w:shd w:val="clear" w:color="auto" w:fill="FFFFFF" w:themeFill="background1"/>
          </w:tcPr>
          <w:p w14:paraId="0ACF1B9C" w14:textId="58766A97" w:rsidR="0008159C" w:rsidRDefault="0008159C" w:rsidP="0008159C">
            <w:pPr>
              <w:pStyle w:val="TableText"/>
            </w:pPr>
            <w:r>
              <w:t>c) Signage shall be designed in a manner which is sympathetic to character of the streetscape.</w:t>
            </w:r>
          </w:p>
        </w:tc>
        <w:tc>
          <w:tcPr>
            <w:tcW w:w="5103" w:type="dxa"/>
            <w:vMerge/>
            <w:shd w:val="clear" w:color="auto" w:fill="FFFFFF" w:themeFill="background1"/>
          </w:tcPr>
          <w:p w14:paraId="4662F701" w14:textId="40648E94" w:rsidR="0008159C" w:rsidRDefault="0008159C" w:rsidP="0008159C">
            <w:pPr>
              <w:pStyle w:val="TableText"/>
            </w:pPr>
          </w:p>
        </w:tc>
        <w:tc>
          <w:tcPr>
            <w:tcW w:w="4931" w:type="dxa"/>
            <w:vMerge/>
            <w:shd w:val="clear" w:color="auto" w:fill="FFFFFF" w:themeFill="background1"/>
          </w:tcPr>
          <w:p w14:paraId="5DAAB834" w14:textId="77777777" w:rsidR="0008159C" w:rsidRPr="009F1BC8" w:rsidRDefault="0008159C" w:rsidP="0008159C">
            <w:pPr>
              <w:pStyle w:val="TableText"/>
              <w:rPr>
                <w:b/>
                <w:bCs/>
              </w:rPr>
            </w:pPr>
          </w:p>
        </w:tc>
      </w:tr>
      <w:tr w:rsidR="0008159C" w14:paraId="3F54BB1F" w14:textId="77777777" w:rsidTr="00FA4E31">
        <w:tc>
          <w:tcPr>
            <w:tcW w:w="4536" w:type="dxa"/>
            <w:shd w:val="clear" w:color="auto" w:fill="FFFFFF" w:themeFill="background1"/>
          </w:tcPr>
          <w:p w14:paraId="058969C8" w14:textId="6E59AC62" w:rsidR="0008159C" w:rsidRDefault="0008159C" w:rsidP="0008159C">
            <w:pPr>
              <w:pStyle w:val="TableText"/>
            </w:pPr>
            <w:r>
              <w:t>d) Signage affixed or associated to a building listed as a heritage item in a relevant Local Environmental Plan shall compliment the character of the building and not result in any alteration to significant elements of the building including colours and materials.</w:t>
            </w:r>
          </w:p>
        </w:tc>
        <w:tc>
          <w:tcPr>
            <w:tcW w:w="5103" w:type="dxa"/>
            <w:vMerge/>
            <w:shd w:val="clear" w:color="auto" w:fill="FFFFFF" w:themeFill="background1"/>
          </w:tcPr>
          <w:p w14:paraId="03ABDA5A" w14:textId="77777777" w:rsidR="0008159C" w:rsidRDefault="0008159C" w:rsidP="0008159C">
            <w:pPr>
              <w:pStyle w:val="TableText"/>
            </w:pPr>
          </w:p>
        </w:tc>
        <w:tc>
          <w:tcPr>
            <w:tcW w:w="4931" w:type="dxa"/>
            <w:vMerge/>
            <w:shd w:val="clear" w:color="auto" w:fill="FFFFFF" w:themeFill="background1"/>
          </w:tcPr>
          <w:p w14:paraId="72E4671D" w14:textId="77777777" w:rsidR="0008159C" w:rsidRPr="009F1BC8" w:rsidRDefault="0008159C" w:rsidP="0008159C">
            <w:pPr>
              <w:pStyle w:val="TableText"/>
              <w:rPr>
                <w:b/>
                <w:bCs/>
              </w:rPr>
            </w:pPr>
          </w:p>
        </w:tc>
      </w:tr>
      <w:tr w:rsidR="0008159C" w14:paraId="217A05F0" w14:textId="77777777" w:rsidTr="00FA4E31">
        <w:tc>
          <w:tcPr>
            <w:tcW w:w="4536" w:type="dxa"/>
            <w:shd w:val="clear" w:color="auto" w:fill="FFFFFF" w:themeFill="background1"/>
          </w:tcPr>
          <w:p w14:paraId="03286791" w14:textId="09097123" w:rsidR="0008159C" w:rsidRDefault="0008159C" w:rsidP="0008159C">
            <w:pPr>
              <w:pStyle w:val="TableText"/>
            </w:pPr>
            <w:r>
              <w:t>e) Signage shall not obscure or detract from a building’s architectural features.</w:t>
            </w:r>
          </w:p>
        </w:tc>
        <w:tc>
          <w:tcPr>
            <w:tcW w:w="5103" w:type="dxa"/>
            <w:shd w:val="clear" w:color="auto" w:fill="FFFFFF" w:themeFill="background1"/>
          </w:tcPr>
          <w:p w14:paraId="4019E8BD" w14:textId="65520EA7" w:rsidR="0008159C" w:rsidRDefault="0008159C" w:rsidP="0008159C">
            <w:pPr>
              <w:pStyle w:val="TableText"/>
            </w:pPr>
            <w:r>
              <w:t>The signage is integrated into the design of the building.</w:t>
            </w:r>
          </w:p>
        </w:tc>
        <w:tc>
          <w:tcPr>
            <w:tcW w:w="4931" w:type="dxa"/>
            <w:shd w:val="clear" w:color="auto" w:fill="FFFFFF" w:themeFill="background1"/>
          </w:tcPr>
          <w:p w14:paraId="3D026F71" w14:textId="5E0716BA" w:rsidR="0008159C" w:rsidRPr="009F1BC8" w:rsidRDefault="0008159C" w:rsidP="0008159C">
            <w:pPr>
              <w:pStyle w:val="TableText"/>
              <w:rPr>
                <w:b/>
                <w:bCs/>
              </w:rPr>
            </w:pPr>
            <w:r w:rsidRPr="009F1BC8">
              <w:rPr>
                <w:b/>
                <w:bCs/>
              </w:rPr>
              <w:t>Complies</w:t>
            </w:r>
          </w:p>
        </w:tc>
      </w:tr>
      <w:tr w:rsidR="0008159C" w14:paraId="549EE8A4" w14:textId="77777777" w:rsidTr="00FA4E31">
        <w:tc>
          <w:tcPr>
            <w:tcW w:w="4536" w:type="dxa"/>
            <w:shd w:val="clear" w:color="auto" w:fill="FFFFFF" w:themeFill="background1"/>
          </w:tcPr>
          <w:p w14:paraId="4EA750B9" w14:textId="32FB61A0" w:rsidR="0008159C" w:rsidRDefault="0008159C" w:rsidP="0008159C">
            <w:pPr>
              <w:pStyle w:val="TableText"/>
            </w:pPr>
            <w:r>
              <w:t>f) Signage shall accurately reflect the lawful use of the site.</w:t>
            </w:r>
          </w:p>
        </w:tc>
        <w:tc>
          <w:tcPr>
            <w:tcW w:w="5103" w:type="dxa"/>
            <w:shd w:val="clear" w:color="auto" w:fill="FFFFFF" w:themeFill="background1"/>
          </w:tcPr>
          <w:p w14:paraId="03D0A380" w14:textId="564F4D39" w:rsidR="0008159C" w:rsidRDefault="0008159C" w:rsidP="0008159C">
            <w:pPr>
              <w:pStyle w:val="TableText"/>
            </w:pPr>
            <w:r>
              <w:t>Signage is to identify the two building tenants; the Q theatre and QPRC.</w:t>
            </w:r>
          </w:p>
        </w:tc>
        <w:tc>
          <w:tcPr>
            <w:tcW w:w="4931" w:type="dxa"/>
            <w:shd w:val="clear" w:color="auto" w:fill="FFFFFF" w:themeFill="background1"/>
          </w:tcPr>
          <w:p w14:paraId="761D1441" w14:textId="7169BEB8" w:rsidR="0008159C" w:rsidRPr="009F1BC8" w:rsidRDefault="0008159C" w:rsidP="0008159C">
            <w:pPr>
              <w:pStyle w:val="TableText"/>
              <w:rPr>
                <w:b/>
                <w:bCs/>
              </w:rPr>
            </w:pPr>
            <w:r w:rsidRPr="009F1BC8">
              <w:rPr>
                <w:b/>
                <w:bCs/>
              </w:rPr>
              <w:t>Complies</w:t>
            </w:r>
          </w:p>
        </w:tc>
      </w:tr>
      <w:tr w:rsidR="0008159C" w14:paraId="41CE4B48" w14:textId="77777777" w:rsidTr="00FA4E31">
        <w:tc>
          <w:tcPr>
            <w:tcW w:w="4536" w:type="dxa"/>
            <w:shd w:val="clear" w:color="auto" w:fill="FFFFFF" w:themeFill="background1"/>
          </w:tcPr>
          <w:p w14:paraId="3AB7454A" w14:textId="2BF2DC35" w:rsidR="0008159C" w:rsidRDefault="0008159C" w:rsidP="0008159C">
            <w:pPr>
              <w:pStyle w:val="TableText"/>
            </w:pPr>
            <w:r>
              <w:t>g) Signage shall be designed in a manner which is distinct from traffic control signs and signals.</w:t>
            </w:r>
          </w:p>
        </w:tc>
        <w:tc>
          <w:tcPr>
            <w:tcW w:w="5103" w:type="dxa"/>
            <w:vMerge w:val="restart"/>
            <w:shd w:val="clear" w:color="auto" w:fill="FFFFFF" w:themeFill="background1"/>
          </w:tcPr>
          <w:p w14:paraId="23E9FA15" w14:textId="0C73A2E2" w:rsidR="0008159C" w:rsidRDefault="0008159C" w:rsidP="0008159C">
            <w:pPr>
              <w:pStyle w:val="TableText"/>
            </w:pPr>
            <w:r>
              <w:t>The scale of signage is in scale with the building and clearly identifies each tenant. By integrating signage and key corporate colours into the materials and finishes (e.g. facebrick building base), signage clutter is reduced and the intended tenant/services are clearly communicated.</w:t>
            </w:r>
          </w:p>
        </w:tc>
        <w:tc>
          <w:tcPr>
            <w:tcW w:w="4931" w:type="dxa"/>
            <w:vMerge w:val="restart"/>
            <w:shd w:val="clear" w:color="auto" w:fill="FFFFFF" w:themeFill="background1"/>
          </w:tcPr>
          <w:p w14:paraId="622BB511" w14:textId="57974F59" w:rsidR="0008159C" w:rsidRPr="009F1BC8" w:rsidRDefault="0008159C" w:rsidP="0008159C">
            <w:pPr>
              <w:pStyle w:val="TableText"/>
              <w:rPr>
                <w:b/>
                <w:bCs/>
              </w:rPr>
            </w:pPr>
            <w:r w:rsidRPr="009F1BC8">
              <w:rPr>
                <w:b/>
                <w:bCs/>
              </w:rPr>
              <w:t>Complies</w:t>
            </w:r>
          </w:p>
        </w:tc>
      </w:tr>
      <w:tr w:rsidR="0008159C" w14:paraId="6D868B83" w14:textId="77777777" w:rsidTr="00FA4E31">
        <w:tc>
          <w:tcPr>
            <w:tcW w:w="4536" w:type="dxa"/>
            <w:shd w:val="clear" w:color="auto" w:fill="FFFFFF" w:themeFill="background1"/>
          </w:tcPr>
          <w:p w14:paraId="15EBF38F" w14:textId="2D8C7314" w:rsidR="0008159C" w:rsidRDefault="0008159C" w:rsidP="0008159C">
            <w:pPr>
              <w:pStyle w:val="TableText"/>
              <w:tabs>
                <w:tab w:val="left" w:pos="1230"/>
              </w:tabs>
            </w:pPr>
            <w:r>
              <w:t>h) Signage shall be located in areas which do not create a hazard to motorists and pedestrians.</w:t>
            </w:r>
            <w:r>
              <w:tab/>
            </w:r>
          </w:p>
        </w:tc>
        <w:tc>
          <w:tcPr>
            <w:tcW w:w="5103" w:type="dxa"/>
            <w:vMerge/>
            <w:shd w:val="clear" w:color="auto" w:fill="FFFFFF" w:themeFill="background1"/>
          </w:tcPr>
          <w:p w14:paraId="17EB826E" w14:textId="77777777" w:rsidR="0008159C" w:rsidRDefault="0008159C" w:rsidP="0008159C">
            <w:pPr>
              <w:pStyle w:val="TableText"/>
            </w:pPr>
          </w:p>
        </w:tc>
        <w:tc>
          <w:tcPr>
            <w:tcW w:w="4931" w:type="dxa"/>
            <w:vMerge/>
            <w:shd w:val="clear" w:color="auto" w:fill="FFFFFF" w:themeFill="background1"/>
          </w:tcPr>
          <w:p w14:paraId="40F76265" w14:textId="77777777" w:rsidR="0008159C" w:rsidRPr="009F1BC8" w:rsidRDefault="0008159C" w:rsidP="0008159C">
            <w:pPr>
              <w:pStyle w:val="TableText"/>
              <w:rPr>
                <w:b/>
                <w:bCs/>
              </w:rPr>
            </w:pPr>
          </w:p>
        </w:tc>
      </w:tr>
      <w:tr w:rsidR="0008159C" w14:paraId="18D475C6" w14:textId="77777777" w:rsidTr="00FA4E31">
        <w:tc>
          <w:tcPr>
            <w:tcW w:w="4536" w:type="dxa"/>
            <w:shd w:val="clear" w:color="auto" w:fill="FFFFFF" w:themeFill="background1"/>
          </w:tcPr>
          <w:p w14:paraId="26B0AA61" w14:textId="3AA9FBE9" w:rsidR="0008159C" w:rsidRDefault="0008159C" w:rsidP="0008159C">
            <w:pPr>
              <w:pStyle w:val="TableText"/>
            </w:pPr>
            <w:r>
              <w:t>i) Where possible, existing signage shall be rationalised to avoid visual clutter caused by a proliferation of signs.</w:t>
            </w:r>
          </w:p>
        </w:tc>
        <w:tc>
          <w:tcPr>
            <w:tcW w:w="5103" w:type="dxa"/>
            <w:vMerge/>
            <w:shd w:val="clear" w:color="auto" w:fill="FFFFFF" w:themeFill="background1"/>
          </w:tcPr>
          <w:p w14:paraId="628515DD" w14:textId="77777777" w:rsidR="0008159C" w:rsidRDefault="0008159C" w:rsidP="0008159C">
            <w:pPr>
              <w:pStyle w:val="TableText"/>
            </w:pPr>
          </w:p>
        </w:tc>
        <w:tc>
          <w:tcPr>
            <w:tcW w:w="4931" w:type="dxa"/>
            <w:vMerge/>
            <w:shd w:val="clear" w:color="auto" w:fill="FFFFFF" w:themeFill="background1"/>
          </w:tcPr>
          <w:p w14:paraId="26A4BC31" w14:textId="77777777" w:rsidR="0008159C" w:rsidRPr="009F1BC8" w:rsidRDefault="0008159C" w:rsidP="0008159C">
            <w:pPr>
              <w:pStyle w:val="TableText"/>
              <w:rPr>
                <w:b/>
                <w:bCs/>
              </w:rPr>
            </w:pPr>
          </w:p>
        </w:tc>
      </w:tr>
      <w:tr w:rsidR="0008159C" w14:paraId="46027B23" w14:textId="77777777" w:rsidTr="00FA4E31">
        <w:tc>
          <w:tcPr>
            <w:tcW w:w="4536" w:type="dxa"/>
            <w:shd w:val="clear" w:color="auto" w:fill="FFFFFF" w:themeFill="background1"/>
          </w:tcPr>
          <w:p w14:paraId="12E387EC" w14:textId="2752E10A" w:rsidR="0008159C" w:rsidRDefault="0008159C" w:rsidP="0008159C">
            <w:pPr>
              <w:pStyle w:val="TableText"/>
              <w:numPr>
                <w:ilvl w:val="0"/>
                <w:numId w:val="66"/>
              </w:numPr>
            </w:pPr>
          </w:p>
        </w:tc>
        <w:tc>
          <w:tcPr>
            <w:tcW w:w="5103" w:type="dxa"/>
            <w:shd w:val="clear" w:color="auto" w:fill="FFFFFF" w:themeFill="background1"/>
          </w:tcPr>
          <w:p w14:paraId="3DE22487" w14:textId="319001CB" w:rsidR="0008159C" w:rsidRDefault="0008159C" w:rsidP="0008159C">
            <w:pPr>
              <w:pStyle w:val="TableText"/>
            </w:pPr>
          </w:p>
        </w:tc>
        <w:tc>
          <w:tcPr>
            <w:tcW w:w="4931" w:type="dxa"/>
            <w:shd w:val="clear" w:color="auto" w:fill="FFFFFF" w:themeFill="background1"/>
          </w:tcPr>
          <w:p w14:paraId="27A026F0" w14:textId="7CA19552" w:rsidR="0008159C" w:rsidRPr="009F1BC8" w:rsidRDefault="0008159C" w:rsidP="0008159C">
            <w:pPr>
              <w:pStyle w:val="TableText"/>
              <w:rPr>
                <w:b/>
                <w:bCs/>
              </w:rPr>
            </w:pPr>
          </w:p>
        </w:tc>
      </w:tr>
      <w:tr w:rsidR="0008159C" w14:paraId="1768B3B0" w14:textId="77777777" w:rsidTr="00BB0C3A">
        <w:tc>
          <w:tcPr>
            <w:tcW w:w="4536" w:type="dxa"/>
            <w:tcBorders>
              <w:bottom w:val="single" w:sz="4" w:space="0" w:color="4E4E50" w:themeColor="accent2"/>
            </w:tcBorders>
            <w:shd w:val="clear" w:color="auto" w:fill="FFFFFF" w:themeFill="background1"/>
          </w:tcPr>
          <w:p w14:paraId="7BE0FAA9" w14:textId="0300BC14" w:rsidR="0008159C" w:rsidRDefault="0008159C" w:rsidP="0008159C">
            <w:pPr>
              <w:pStyle w:val="TableText"/>
              <w:numPr>
                <w:ilvl w:val="0"/>
                <w:numId w:val="68"/>
              </w:numPr>
            </w:pPr>
          </w:p>
        </w:tc>
        <w:tc>
          <w:tcPr>
            <w:tcW w:w="5103" w:type="dxa"/>
            <w:tcBorders>
              <w:bottom w:val="single" w:sz="4" w:space="0" w:color="4E4E50" w:themeColor="accent2"/>
            </w:tcBorders>
            <w:shd w:val="clear" w:color="auto" w:fill="FFFFFF" w:themeFill="background1"/>
          </w:tcPr>
          <w:p w14:paraId="00FD224E" w14:textId="4E3C0483"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0A19B606" w14:textId="6F85E6BD" w:rsidR="0008159C" w:rsidRPr="009F1BC8" w:rsidRDefault="0008159C" w:rsidP="0008159C">
            <w:pPr>
              <w:pStyle w:val="TableText"/>
              <w:rPr>
                <w:b/>
                <w:bCs/>
              </w:rPr>
            </w:pPr>
          </w:p>
        </w:tc>
      </w:tr>
      <w:tr w:rsidR="0008159C" w14:paraId="1C344876" w14:textId="77777777" w:rsidTr="00BB0C3A">
        <w:tc>
          <w:tcPr>
            <w:tcW w:w="4536" w:type="dxa"/>
            <w:shd w:val="clear" w:color="auto" w:fill="B7B7B9" w:themeFill="accent2" w:themeFillTint="66"/>
          </w:tcPr>
          <w:p w14:paraId="42AC576D" w14:textId="65DC7726" w:rsidR="0008159C" w:rsidRPr="00BB0C3A" w:rsidRDefault="0008159C" w:rsidP="0008159C">
            <w:pPr>
              <w:pStyle w:val="TableText"/>
              <w:rPr>
                <w:b/>
                <w:bCs/>
              </w:rPr>
            </w:pPr>
            <w:r>
              <w:rPr>
                <w:b/>
                <w:bCs/>
              </w:rPr>
              <w:t>6.2.14 Heritage Sites</w:t>
            </w:r>
          </w:p>
        </w:tc>
        <w:tc>
          <w:tcPr>
            <w:tcW w:w="5103" w:type="dxa"/>
            <w:shd w:val="clear" w:color="auto" w:fill="B7B7B9" w:themeFill="accent2" w:themeFillTint="66"/>
          </w:tcPr>
          <w:p w14:paraId="68A2BB99" w14:textId="77777777" w:rsidR="0008159C" w:rsidRDefault="0008159C" w:rsidP="0008159C">
            <w:pPr>
              <w:pStyle w:val="TableText"/>
            </w:pPr>
          </w:p>
        </w:tc>
        <w:tc>
          <w:tcPr>
            <w:tcW w:w="4931" w:type="dxa"/>
            <w:shd w:val="clear" w:color="auto" w:fill="B7B7B9" w:themeFill="accent2" w:themeFillTint="66"/>
          </w:tcPr>
          <w:p w14:paraId="4603D5F7" w14:textId="77777777" w:rsidR="0008159C" w:rsidRDefault="0008159C" w:rsidP="0008159C">
            <w:pPr>
              <w:pStyle w:val="TableText"/>
            </w:pPr>
          </w:p>
        </w:tc>
      </w:tr>
      <w:tr w:rsidR="0008159C" w14:paraId="18061264" w14:textId="77777777" w:rsidTr="00FA4E31">
        <w:tc>
          <w:tcPr>
            <w:tcW w:w="4536" w:type="dxa"/>
            <w:shd w:val="clear" w:color="auto" w:fill="FFFFFF" w:themeFill="background1"/>
          </w:tcPr>
          <w:p w14:paraId="46C877EE" w14:textId="6CE4998A" w:rsidR="0008159C" w:rsidRDefault="0008159C" w:rsidP="0008159C">
            <w:pPr>
              <w:pStyle w:val="TableText"/>
            </w:pPr>
            <w:r>
              <w:t>a) Compliance with the requirements of clause 5.10 of Queanbeyan Local Environmental Plan 2012.</w:t>
            </w:r>
          </w:p>
        </w:tc>
        <w:tc>
          <w:tcPr>
            <w:tcW w:w="5103" w:type="dxa"/>
            <w:shd w:val="clear" w:color="auto" w:fill="FFFFFF" w:themeFill="background1"/>
          </w:tcPr>
          <w:p w14:paraId="13ADB39D" w14:textId="77777777" w:rsidR="0008159C" w:rsidRDefault="0008159C" w:rsidP="0008159C">
            <w:pPr>
              <w:pStyle w:val="TableText"/>
            </w:pPr>
          </w:p>
        </w:tc>
        <w:tc>
          <w:tcPr>
            <w:tcW w:w="4931" w:type="dxa"/>
            <w:shd w:val="clear" w:color="auto" w:fill="FFFFFF" w:themeFill="background1"/>
          </w:tcPr>
          <w:p w14:paraId="257AABBF" w14:textId="77777777" w:rsidR="0008159C" w:rsidRPr="00FE59EC" w:rsidRDefault="0008159C" w:rsidP="0008159C">
            <w:pPr>
              <w:pStyle w:val="TableText"/>
              <w:rPr>
                <w:b/>
                <w:bCs/>
              </w:rPr>
            </w:pPr>
            <w:r w:rsidRPr="00FE59EC">
              <w:rPr>
                <w:b/>
                <w:bCs/>
              </w:rPr>
              <w:t>Complies</w:t>
            </w:r>
          </w:p>
          <w:p w14:paraId="09D052D3" w14:textId="023AB0C0" w:rsidR="0008159C" w:rsidRDefault="0008159C" w:rsidP="0008159C">
            <w:pPr>
              <w:pStyle w:val="TableText"/>
            </w:pPr>
            <w:r>
              <w:t>Refer to Assessment Report</w:t>
            </w:r>
          </w:p>
        </w:tc>
      </w:tr>
      <w:tr w:rsidR="0008159C" w14:paraId="70A8E692" w14:textId="77777777" w:rsidTr="00FA4E31">
        <w:tc>
          <w:tcPr>
            <w:tcW w:w="4536" w:type="dxa"/>
            <w:shd w:val="clear" w:color="auto" w:fill="FFFFFF" w:themeFill="background1"/>
          </w:tcPr>
          <w:p w14:paraId="01952EAD" w14:textId="0F8F88F0" w:rsidR="0008159C" w:rsidRDefault="0008159C" w:rsidP="0008159C">
            <w:pPr>
              <w:pStyle w:val="TableText"/>
            </w:pPr>
            <w:r>
              <w:lastRenderedPageBreak/>
              <w:t>b) Buildings that are listed as items of environmental heritage are to be protected.</w:t>
            </w:r>
          </w:p>
        </w:tc>
        <w:tc>
          <w:tcPr>
            <w:tcW w:w="5103" w:type="dxa"/>
            <w:shd w:val="clear" w:color="auto" w:fill="FFFFFF" w:themeFill="background1"/>
          </w:tcPr>
          <w:p w14:paraId="532C41B8" w14:textId="2BFC9216" w:rsidR="0008159C" w:rsidRDefault="0008159C" w:rsidP="0008159C">
            <w:pPr>
              <w:pStyle w:val="TableText"/>
            </w:pPr>
            <w:r>
              <w:t>Lot 2 DP 1179998 contains two items that are listed in Schedule 5 of the QLEP as having local heritage significance. Item No. I50, the former Queanbeyan Fire Station, is located at 261 Crawford Street whilst item No. I51, Dutton’s Cottage, is located at 263 Crawford Street.</w:t>
            </w:r>
          </w:p>
        </w:tc>
        <w:tc>
          <w:tcPr>
            <w:tcW w:w="4931" w:type="dxa"/>
            <w:shd w:val="clear" w:color="auto" w:fill="FFFFFF" w:themeFill="background1"/>
          </w:tcPr>
          <w:p w14:paraId="225D5758" w14:textId="77777777" w:rsidR="0008159C" w:rsidRPr="00FE59EC" w:rsidRDefault="0008159C" w:rsidP="0008159C">
            <w:pPr>
              <w:pStyle w:val="TableText"/>
              <w:rPr>
                <w:b/>
                <w:bCs/>
              </w:rPr>
            </w:pPr>
            <w:r w:rsidRPr="00FE59EC">
              <w:rPr>
                <w:b/>
                <w:bCs/>
              </w:rPr>
              <w:t>Complies</w:t>
            </w:r>
          </w:p>
          <w:p w14:paraId="63E20363" w14:textId="10AE5049" w:rsidR="0008159C" w:rsidRDefault="0008159C" w:rsidP="0008159C">
            <w:pPr>
              <w:pStyle w:val="TableText"/>
            </w:pPr>
            <w:r>
              <w:t xml:space="preserve">The Heritage Impact Statement is accepted subject to conditions of approval. </w:t>
            </w:r>
          </w:p>
        </w:tc>
      </w:tr>
      <w:tr w:rsidR="0008159C" w14:paraId="74E4FB96" w14:textId="77777777" w:rsidTr="00FA4E31">
        <w:tc>
          <w:tcPr>
            <w:tcW w:w="4536" w:type="dxa"/>
            <w:shd w:val="clear" w:color="auto" w:fill="FFFFFF" w:themeFill="background1"/>
          </w:tcPr>
          <w:p w14:paraId="69CD071C" w14:textId="254D3E9F" w:rsidR="0008159C" w:rsidRDefault="0008159C" w:rsidP="0008159C">
            <w:pPr>
              <w:pStyle w:val="TableText"/>
            </w:pPr>
            <w:r>
              <w:t>c) New architecture should be of good quality contemporary design, but should reflect old elements where possible such as scale, parapet and roof shapes or detail.</w:t>
            </w:r>
          </w:p>
        </w:tc>
        <w:tc>
          <w:tcPr>
            <w:tcW w:w="5103" w:type="dxa"/>
            <w:shd w:val="clear" w:color="auto" w:fill="FFFFFF" w:themeFill="background1"/>
          </w:tcPr>
          <w:p w14:paraId="7996BA73" w14:textId="12F59A5C" w:rsidR="0008159C" w:rsidRDefault="0008159C" w:rsidP="0008159C">
            <w:pPr>
              <w:pStyle w:val="TableText"/>
            </w:pPr>
            <w:r>
              <w:t>Facebrick and glass will provide a modern interpretation of the existing architectural palate.</w:t>
            </w:r>
          </w:p>
        </w:tc>
        <w:tc>
          <w:tcPr>
            <w:tcW w:w="4931" w:type="dxa"/>
            <w:shd w:val="clear" w:color="auto" w:fill="FFFFFF" w:themeFill="background1"/>
          </w:tcPr>
          <w:p w14:paraId="267BC298" w14:textId="1973CC4A" w:rsidR="0008159C" w:rsidRPr="00FE59EC" w:rsidRDefault="0008159C" w:rsidP="0008159C">
            <w:pPr>
              <w:pStyle w:val="TableText"/>
              <w:rPr>
                <w:b/>
                <w:bCs/>
              </w:rPr>
            </w:pPr>
            <w:r w:rsidRPr="00FE59EC">
              <w:rPr>
                <w:b/>
                <w:bCs/>
              </w:rPr>
              <w:t>Complies</w:t>
            </w:r>
          </w:p>
        </w:tc>
      </w:tr>
      <w:tr w:rsidR="0008159C" w14:paraId="7DA9D8BE" w14:textId="77777777" w:rsidTr="00FA4E31">
        <w:tc>
          <w:tcPr>
            <w:tcW w:w="4536" w:type="dxa"/>
            <w:shd w:val="clear" w:color="auto" w:fill="FFFFFF" w:themeFill="background1"/>
          </w:tcPr>
          <w:p w14:paraId="0B4DEBC0" w14:textId="44CC284C" w:rsidR="0008159C" w:rsidRDefault="0008159C" w:rsidP="0008159C">
            <w:pPr>
              <w:pStyle w:val="TableText"/>
            </w:pPr>
            <w:r>
              <w:t>d) In the case of redevelopment, the significant fabric (e.g. façade, window awnings) should be retained and sympathetically incorporated into the new development.</w:t>
            </w:r>
          </w:p>
        </w:tc>
        <w:tc>
          <w:tcPr>
            <w:tcW w:w="5103" w:type="dxa"/>
            <w:shd w:val="clear" w:color="auto" w:fill="FFFFFF" w:themeFill="background1"/>
          </w:tcPr>
          <w:p w14:paraId="4759E197" w14:textId="19FC8F85" w:rsidR="0008159C" w:rsidRDefault="0008159C" w:rsidP="0008159C">
            <w:pPr>
              <w:pStyle w:val="TableText"/>
            </w:pPr>
          </w:p>
        </w:tc>
        <w:tc>
          <w:tcPr>
            <w:tcW w:w="4931" w:type="dxa"/>
            <w:shd w:val="clear" w:color="auto" w:fill="FFFFFF" w:themeFill="background1"/>
          </w:tcPr>
          <w:p w14:paraId="5E304A93" w14:textId="223C0291" w:rsidR="0008159C" w:rsidRPr="00FE59EC" w:rsidRDefault="0008159C" w:rsidP="0008159C">
            <w:pPr>
              <w:pStyle w:val="TableText"/>
              <w:rPr>
                <w:b/>
                <w:bCs/>
              </w:rPr>
            </w:pPr>
            <w:r w:rsidRPr="00FE59EC">
              <w:rPr>
                <w:b/>
                <w:bCs/>
              </w:rPr>
              <w:t>Not applicable</w:t>
            </w:r>
          </w:p>
        </w:tc>
      </w:tr>
      <w:tr w:rsidR="0008159C" w14:paraId="0EB74ADA" w14:textId="77777777" w:rsidTr="00FA4E31">
        <w:tc>
          <w:tcPr>
            <w:tcW w:w="4536" w:type="dxa"/>
            <w:shd w:val="clear" w:color="auto" w:fill="FFFFFF" w:themeFill="background1"/>
          </w:tcPr>
          <w:p w14:paraId="38D562FB" w14:textId="1E915E6F" w:rsidR="0008159C" w:rsidRDefault="0008159C" w:rsidP="0008159C">
            <w:pPr>
              <w:pStyle w:val="TableText"/>
              <w:tabs>
                <w:tab w:val="left" w:pos="1515"/>
              </w:tabs>
            </w:pPr>
            <w:r>
              <w:t>e) Important landscapes should also be protected.</w:t>
            </w:r>
            <w:r>
              <w:tab/>
            </w:r>
          </w:p>
        </w:tc>
        <w:tc>
          <w:tcPr>
            <w:tcW w:w="5103" w:type="dxa"/>
            <w:shd w:val="clear" w:color="auto" w:fill="FFFFFF" w:themeFill="background1"/>
          </w:tcPr>
          <w:p w14:paraId="6D42F9A4" w14:textId="400C51D9" w:rsidR="0008159C" w:rsidRDefault="0008159C" w:rsidP="0008159C">
            <w:pPr>
              <w:pStyle w:val="TableText"/>
            </w:pPr>
            <w:r>
              <w:t>No significant landscape is to be adversely impacted as a result of the development.</w:t>
            </w:r>
          </w:p>
        </w:tc>
        <w:tc>
          <w:tcPr>
            <w:tcW w:w="4931" w:type="dxa"/>
            <w:shd w:val="clear" w:color="auto" w:fill="FFFFFF" w:themeFill="background1"/>
          </w:tcPr>
          <w:p w14:paraId="3D700D34" w14:textId="6241CABA" w:rsidR="0008159C" w:rsidRPr="00FE59EC" w:rsidRDefault="0008159C" w:rsidP="0008159C">
            <w:pPr>
              <w:pStyle w:val="TableText"/>
              <w:rPr>
                <w:b/>
                <w:bCs/>
              </w:rPr>
            </w:pPr>
            <w:r w:rsidRPr="00FE59EC">
              <w:rPr>
                <w:b/>
                <w:bCs/>
              </w:rPr>
              <w:t>Complies</w:t>
            </w:r>
          </w:p>
        </w:tc>
      </w:tr>
      <w:tr w:rsidR="0008159C" w14:paraId="11F965A1" w14:textId="77777777" w:rsidTr="00FA4E31">
        <w:tc>
          <w:tcPr>
            <w:tcW w:w="4536" w:type="dxa"/>
            <w:shd w:val="clear" w:color="auto" w:fill="FFFFFF" w:themeFill="background1"/>
          </w:tcPr>
          <w:p w14:paraId="014A1062" w14:textId="041339CC" w:rsidR="0008159C" w:rsidRDefault="0008159C" w:rsidP="0008159C">
            <w:pPr>
              <w:pStyle w:val="TableText"/>
            </w:pPr>
            <w:r>
              <w:t>f) Preserve the “Tree of Knowledge” and incorporate into streetscape enhancement in that area.</w:t>
            </w:r>
          </w:p>
        </w:tc>
        <w:tc>
          <w:tcPr>
            <w:tcW w:w="5103" w:type="dxa"/>
            <w:shd w:val="clear" w:color="auto" w:fill="FFFFFF" w:themeFill="background1"/>
          </w:tcPr>
          <w:p w14:paraId="116332B5" w14:textId="77777777" w:rsidR="0008159C" w:rsidRDefault="0008159C" w:rsidP="0008159C">
            <w:pPr>
              <w:pStyle w:val="TableText"/>
            </w:pPr>
          </w:p>
        </w:tc>
        <w:tc>
          <w:tcPr>
            <w:tcW w:w="4931" w:type="dxa"/>
            <w:shd w:val="clear" w:color="auto" w:fill="FFFFFF" w:themeFill="background1"/>
          </w:tcPr>
          <w:p w14:paraId="1A17642E" w14:textId="77777777" w:rsidR="0008159C" w:rsidRPr="00FE59EC" w:rsidRDefault="0008159C" w:rsidP="0008159C">
            <w:pPr>
              <w:pStyle w:val="TableText"/>
              <w:rPr>
                <w:b/>
                <w:bCs/>
              </w:rPr>
            </w:pPr>
            <w:r w:rsidRPr="00FE59EC">
              <w:rPr>
                <w:b/>
                <w:bCs/>
              </w:rPr>
              <w:t>Not applicable</w:t>
            </w:r>
          </w:p>
          <w:p w14:paraId="259CF896" w14:textId="55C18D34" w:rsidR="0008159C" w:rsidRDefault="0008159C" w:rsidP="0008159C">
            <w:pPr>
              <w:pStyle w:val="TableText"/>
            </w:pPr>
            <w:r>
              <w:t xml:space="preserve">The site does not impact the Tree of Knowledge </w:t>
            </w:r>
          </w:p>
        </w:tc>
      </w:tr>
      <w:tr w:rsidR="0008159C" w14:paraId="42C173C5" w14:textId="77777777" w:rsidTr="00FA4E31">
        <w:tc>
          <w:tcPr>
            <w:tcW w:w="4536" w:type="dxa"/>
            <w:shd w:val="clear" w:color="auto" w:fill="FFFFFF" w:themeFill="background1"/>
          </w:tcPr>
          <w:p w14:paraId="3BFA8CD1" w14:textId="635A8AE6" w:rsidR="0008159C" w:rsidRDefault="0008159C" w:rsidP="0008159C">
            <w:pPr>
              <w:pStyle w:val="TableText"/>
            </w:pPr>
            <w:r>
              <w:t>g) Heritage Assessment to be submitted with a Development Application for demolition or partial demolition where buildings are built prior to 1960.</w:t>
            </w:r>
          </w:p>
        </w:tc>
        <w:tc>
          <w:tcPr>
            <w:tcW w:w="5103" w:type="dxa"/>
            <w:shd w:val="clear" w:color="auto" w:fill="FFFFFF" w:themeFill="background1"/>
          </w:tcPr>
          <w:p w14:paraId="15F912EF" w14:textId="77777777" w:rsidR="0008159C" w:rsidRDefault="0008159C" w:rsidP="0008159C">
            <w:pPr>
              <w:pStyle w:val="TableText"/>
            </w:pPr>
          </w:p>
        </w:tc>
        <w:tc>
          <w:tcPr>
            <w:tcW w:w="4931" w:type="dxa"/>
            <w:shd w:val="clear" w:color="auto" w:fill="FFFFFF" w:themeFill="background1"/>
          </w:tcPr>
          <w:p w14:paraId="362A1C84" w14:textId="77777777" w:rsidR="0008159C" w:rsidRPr="00FE59EC" w:rsidRDefault="0008159C" w:rsidP="0008159C">
            <w:pPr>
              <w:pStyle w:val="TableText"/>
              <w:rPr>
                <w:b/>
                <w:bCs/>
              </w:rPr>
            </w:pPr>
            <w:r w:rsidRPr="00FE59EC">
              <w:rPr>
                <w:b/>
                <w:bCs/>
              </w:rPr>
              <w:t>Not applicable</w:t>
            </w:r>
          </w:p>
          <w:p w14:paraId="0F581F9D" w14:textId="6491AEDF" w:rsidR="0008159C" w:rsidRDefault="0008159C" w:rsidP="0008159C">
            <w:pPr>
              <w:pStyle w:val="TableText"/>
            </w:pPr>
            <w:r>
              <w:t>No demolition of heritage items</w:t>
            </w:r>
          </w:p>
        </w:tc>
      </w:tr>
      <w:tr w:rsidR="0008159C" w14:paraId="28151626" w14:textId="77777777" w:rsidTr="00FA4E31">
        <w:tc>
          <w:tcPr>
            <w:tcW w:w="4536" w:type="dxa"/>
            <w:shd w:val="clear" w:color="auto" w:fill="FFFFFF" w:themeFill="background1"/>
          </w:tcPr>
          <w:p w14:paraId="55FE1DAD" w14:textId="12567742" w:rsidR="0008159C" w:rsidRDefault="0008159C" w:rsidP="0008159C">
            <w:pPr>
              <w:pStyle w:val="TableText"/>
            </w:pPr>
            <w:r>
              <w:t>h) New development should respect the scale and architectural themes of nearby or adjacent heritage buildings, while still being modern and contemporary.</w:t>
            </w:r>
          </w:p>
        </w:tc>
        <w:tc>
          <w:tcPr>
            <w:tcW w:w="5103" w:type="dxa"/>
            <w:shd w:val="clear" w:color="auto" w:fill="FFFFFF" w:themeFill="background1"/>
          </w:tcPr>
          <w:p w14:paraId="10C56173" w14:textId="722CDF7A" w:rsidR="0008159C" w:rsidRDefault="0008159C" w:rsidP="0008159C">
            <w:pPr>
              <w:pStyle w:val="TableText"/>
            </w:pPr>
            <w:r>
              <w:t>The new building will better integrate with the local character and architectural palate than the two storey commercial building it replaces. Whilst clearly much larger than the two storey building it replaces, the proposed development will visually tie to the existing palate of development and the desired future character envisaged by the LEP controls and master planning undertaken for the Queanbeyan CBD.</w:t>
            </w:r>
          </w:p>
        </w:tc>
        <w:tc>
          <w:tcPr>
            <w:tcW w:w="4931" w:type="dxa"/>
            <w:shd w:val="clear" w:color="auto" w:fill="FFFFFF" w:themeFill="background1"/>
          </w:tcPr>
          <w:p w14:paraId="176EF2C4" w14:textId="77777777" w:rsidR="0008159C" w:rsidRDefault="0008159C" w:rsidP="0008159C">
            <w:pPr>
              <w:pStyle w:val="TableText"/>
              <w:rPr>
                <w:b/>
                <w:bCs/>
              </w:rPr>
            </w:pPr>
            <w:r w:rsidRPr="00FE59EC">
              <w:rPr>
                <w:b/>
                <w:bCs/>
              </w:rPr>
              <w:t>Complies</w:t>
            </w:r>
          </w:p>
          <w:p w14:paraId="7F3825F5" w14:textId="1663FCE8" w:rsidR="0008159C" w:rsidRPr="00FE59EC" w:rsidRDefault="0008159C" w:rsidP="0008159C">
            <w:pPr>
              <w:pStyle w:val="TableText"/>
              <w:rPr>
                <w:b/>
                <w:bCs/>
              </w:rPr>
            </w:pPr>
            <w:r>
              <w:t>The Heritage Impact Statement is accepted subject to conditions of approval.</w:t>
            </w:r>
          </w:p>
        </w:tc>
      </w:tr>
      <w:tr w:rsidR="0008159C" w14:paraId="0EFC8A99" w14:textId="77777777" w:rsidTr="00FA4E31">
        <w:tc>
          <w:tcPr>
            <w:tcW w:w="4536" w:type="dxa"/>
            <w:shd w:val="clear" w:color="auto" w:fill="FFFFFF" w:themeFill="background1"/>
          </w:tcPr>
          <w:p w14:paraId="3F155572" w14:textId="13D7368C" w:rsidR="0008159C" w:rsidRDefault="0008159C" w:rsidP="0008159C">
            <w:pPr>
              <w:pStyle w:val="TableText"/>
            </w:pPr>
            <w:r>
              <w:lastRenderedPageBreak/>
              <w:t>i) The traditional grid pattern of Queanbeyan streets is to be maintained in the urban pattern and maintained for connectivity, whether vehicular, pedestrian, or combined.</w:t>
            </w:r>
          </w:p>
        </w:tc>
        <w:tc>
          <w:tcPr>
            <w:tcW w:w="5103" w:type="dxa"/>
            <w:shd w:val="clear" w:color="auto" w:fill="FFFFFF" w:themeFill="background1"/>
          </w:tcPr>
          <w:p w14:paraId="307BCC5C" w14:textId="1CC1C423" w:rsidR="0008159C" w:rsidRDefault="0008159C" w:rsidP="0008159C">
            <w:pPr>
              <w:pStyle w:val="TableText"/>
            </w:pPr>
            <w:r>
              <w:t>The proposed development is designed to maintain the traditional grid pattern of Queanbeyan Streets.</w:t>
            </w:r>
          </w:p>
        </w:tc>
        <w:tc>
          <w:tcPr>
            <w:tcW w:w="4931" w:type="dxa"/>
            <w:shd w:val="clear" w:color="auto" w:fill="FFFFFF" w:themeFill="background1"/>
          </w:tcPr>
          <w:p w14:paraId="7287A529" w14:textId="77777777" w:rsidR="0008159C" w:rsidRDefault="0008159C" w:rsidP="0008159C">
            <w:pPr>
              <w:pStyle w:val="TableText"/>
              <w:rPr>
                <w:b/>
                <w:bCs/>
              </w:rPr>
            </w:pPr>
            <w:r w:rsidRPr="00FE59EC">
              <w:rPr>
                <w:b/>
                <w:bCs/>
              </w:rPr>
              <w:t>Complies</w:t>
            </w:r>
          </w:p>
          <w:p w14:paraId="185BA603" w14:textId="58D80B9B" w:rsidR="0008159C" w:rsidRDefault="0008159C" w:rsidP="0008159C">
            <w:pPr>
              <w:pStyle w:val="TableText"/>
            </w:pPr>
            <w:r>
              <w:t>The Heritage Impact Statement is accepted subject to conditions of approval.</w:t>
            </w:r>
          </w:p>
        </w:tc>
      </w:tr>
      <w:tr w:rsidR="0008159C" w14:paraId="38BD73D7" w14:textId="77777777" w:rsidTr="00FA4E31">
        <w:tc>
          <w:tcPr>
            <w:tcW w:w="4536" w:type="dxa"/>
            <w:shd w:val="clear" w:color="auto" w:fill="FFFFFF" w:themeFill="background1"/>
          </w:tcPr>
          <w:p w14:paraId="7EAD26B5" w14:textId="64079E0C" w:rsidR="0008159C" w:rsidRDefault="0008159C" w:rsidP="0008159C">
            <w:pPr>
              <w:pStyle w:val="TableText"/>
            </w:pPr>
            <w:r>
              <w:t>j) Views to Queens Bridge are to be maintained or facilitated wherever possible.</w:t>
            </w:r>
          </w:p>
        </w:tc>
        <w:tc>
          <w:tcPr>
            <w:tcW w:w="5103" w:type="dxa"/>
            <w:shd w:val="clear" w:color="auto" w:fill="FFFFFF" w:themeFill="background1"/>
          </w:tcPr>
          <w:p w14:paraId="53B2F17A" w14:textId="77777777" w:rsidR="0008159C" w:rsidRDefault="0008159C" w:rsidP="0008159C">
            <w:pPr>
              <w:pStyle w:val="TableText"/>
            </w:pPr>
          </w:p>
        </w:tc>
        <w:tc>
          <w:tcPr>
            <w:tcW w:w="4931" w:type="dxa"/>
            <w:shd w:val="clear" w:color="auto" w:fill="FFFFFF" w:themeFill="background1"/>
          </w:tcPr>
          <w:p w14:paraId="31043C3B" w14:textId="77777777" w:rsidR="0008159C" w:rsidRPr="00FE59EC" w:rsidRDefault="0008159C" w:rsidP="0008159C">
            <w:pPr>
              <w:pStyle w:val="TableText"/>
              <w:rPr>
                <w:b/>
                <w:bCs/>
              </w:rPr>
            </w:pPr>
            <w:r w:rsidRPr="00FE59EC">
              <w:rPr>
                <w:b/>
                <w:bCs/>
              </w:rPr>
              <w:t>Not applicable</w:t>
            </w:r>
          </w:p>
          <w:p w14:paraId="12E6BBC0" w14:textId="60377241" w:rsidR="0008159C" w:rsidRDefault="0008159C" w:rsidP="0008159C">
            <w:pPr>
              <w:pStyle w:val="TableText"/>
            </w:pPr>
            <w:r>
              <w:t>The Queens Bridge is not visible from the site</w:t>
            </w:r>
          </w:p>
        </w:tc>
      </w:tr>
      <w:tr w:rsidR="0008159C" w14:paraId="4E21533E" w14:textId="77777777" w:rsidTr="00BB0C3A">
        <w:tc>
          <w:tcPr>
            <w:tcW w:w="4536" w:type="dxa"/>
            <w:tcBorders>
              <w:bottom w:val="single" w:sz="4" w:space="0" w:color="4E4E50" w:themeColor="accent2"/>
            </w:tcBorders>
            <w:shd w:val="clear" w:color="auto" w:fill="FFFFFF" w:themeFill="background1"/>
          </w:tcPr>
          <w:p w14:paraId="3F88223E" w14:textId="3FD409D1" w:rsidR="0008159C" w:rsidRDefault="0008159C" w:rsidP="0008159C">
            <w:pPr>
              <w:pStyle w:val="TableText"/>
            </w:pPr>
            <w:r>
              <w:t>k) Local monuments and statues are to be retained in locations that maximise their relevance to the public (whether resident or visitor). New development should not adversely affect their significance, whether by impeding views, causing overshadowing, or other amenity impacts such as increased noise.</w:t>
            </w:r>
          </w:p>
        </w:tc>
        <w:tc>
          <w:tcPr>
            <w:tcW w:w="5103" w:type="dxa"/>
            <w:tcBorders>
              <w:bottom w:val="single" w:sz="4" w:space="0" w:color="4E4E50" w:themeColor="accent2"/>
            </w:tcBorders>
            <w:shd w:val="clear" w:color="auto" w:fill="FFFFFF" w:themeFill="background1"/>
          </w:tcPr>
          <w:p w14:paraId="64968D32" w14:textId="560011D6" w:rsidR="0008159C" w:rsidRDefault="0008159C" w:rsidP="0008159C">
            <w:pPr>
              <w:pStyle w:val="TableText"/>
            </w:pPr>
            <w:r>
              <w:t>The proposed development will not adversely impact any local monuments or statues.</w:t>
            </w:r>
          </w:p>
        </w:tc>
        <w:tc>
          <w:tcPr>
            <w:tcW w:w="4931" w:type="dxa"/>
            <w:tcBorders>
              <w:bottom w:val="single" w:sz="4" w:space="0" w:color="4E4E50" w:themeColor="accent2"/>
            </w:tcBorders>
            <w:shd w:val="clear" w:color="auto" w:fill="FFFFFF" w:themeFill="background1"/>
          </w:tcPr>
          <w:p w14:paraId="7EB3ADD9" w14:textId="58EA237B" w:rsidR="0008159C" w:rsidRPr="00FE59EC" w:rsidRDefault="0008159C" w:rsidP="0008159C">
            <w:pPr>
              <w:pStyle w:val="TableText"/>
              <w:rPr>
                <w:b/>
                <w:bCs/>
              </w:rPr>
            </w:pPr>
            <w:r w:rsidRPr="00FE59EC">
              <w:rPr>
                <w:b/>
                <w:bCs/>
              </w:rPr>
              <w:t>Complies</w:t>
            </w:r>
          </w:p>
        </w:tc>
      </w:tr>
      <w:tr w:rsidR="0008159C" w14:paraId="3043A8E4" w14:textId="77777777" w:rsidTr="00BB0C3A">
        <w:tc>
          <w:tcPr>
            <w:tcW w:w="4536" w:type="dxa"/>
            <w:shd w:val="clear" w:color="auto" w:fill="B7B7B9" w:themeFill="accent2" w:themeFillTint="66"/>
          </w:tcPr>
          <w:p w14:paraId="3CE09DDB" w14:textId="58D151B5" w:rsidR="0008159C" w:rsidRPr="00BB0C3A" w:rsidRDefault="0008159C" w:rsidP="0008159C">
            <w:pPr>
              <w:pStyle w:val="TableText"/>
              <w:rPr>
                <w:b/>
                <w:bCs/>
              </w:rPr>
            </w:pPr>
            <w:r>
              <w:rPr>
                <w:b/>
                <w:bCs/>
              </w:rPr>
              <w:t>6.2.15 Connectivity</w:t>
            </w:r>
          </w:p>
        </w:tc>
        <w:tc>
          <w:tcPr>
            <w:tcW w:w="5103" w:type="dxa"/>
            <w:shd w:val="clear" w:color="auto" w:fill="B7B7B9" w:themeFill="accent2" w:themeFillTint="66"/>
          </w:tcPr>
          <w:p w14:paraId="1014A81D" w14:textId="1FC713CB" w:rsidR="0008159C" w:rsidRPr="00BB0C3A" w:rsidRDefault="0008159C" w:rsidP="0008159C">
            <w:pPr>
              <w:pStyle w:val="TableText"/>
              <w:rPr>
                <w:b/>
                <w:bCs/>
              </w:rPr>
            </w:pPr>
          </w:p>
        </w:tc>
        <w:tc>
          <w:tcPr>
            <w:tcW w:w="4931" w:type="dxa"/>
            <w:shd w:val="clear" w:color="auto" w:fill="B7B7B9" w:themeFill="accent2" w:themeFillTint="66"/>
          </w:tcPr>
          <w:p w14:paraId="038213F1" w14:textId="77777777" w:rsidR="0008159C" w:rsidRPr="00BB0C3A" w:rsidRDefault="0008159C" w:rsidP="0008159C">
            <w:pPr>
              <w:pStyle w:val="TableText"/>
              <w:rPr>
                <w:b/>
                <w:bCs/>
              </w:rPr>
            </w:pPr>
          </w:p>
        </w:tc>
      </w:tr>
      <w:tr w:rsidR="0008159C" w14:paraId="43118D2F" w14:textId="77777777" w:rsidTr="00FA4E31">
        <w:tc>
          <w:tcPr>
            <w:tcW w:w="4536" w:type="dxa"/>
            <w:shd w:val="clear" w:color="auto" w:fill="FFFFFF" w:themeFill="background1"/>
          </w:tcPr>
          <w:p w14:paraId="01AFC8E8" w14:textId="3E7C9DB4" w:rsidR="0008159C" w:rsidRDefault="0008159C" w:rsidP="0008159C">
            <w:pPr>
              <w:pStyle w:val="TableText"/>
            </w:pPr>
            <w:r>
              <w:t>a) 24 hour access is preferred but lockable arcades etc are better than no links.</w:t>
            </w:r>
          </w:p>
        </w:tc>
        <w:tc>
          <w:tcPr>
            <w:tcW w:w="5103" w:type="dxa"/>
            <w:vMerge w:val="restart"/>
            <w:shd w:val="clear" w:color="auto" w:fill="FFFFFF" w:themeFill="background1"/>
          </w:tcPr>
          <w:p w14:paraId="6FD27A96" w14:textId="77777777" w:rsidR="0008159C" w:rsidRDefault="0008159C" w:rsidP="0008159C">
            <w:pPr>
              <w:pStyle w:val="TableText"/>
            </w:pPr>
            <w:r>
              <w:t>The proposed public plaza and public administration building will create a forecourt for The Q and an improved pedestrian link from Crawford Street to the Queanbeyan showground. This area will be a key focus of civic and town activity. The civic public plaza will provide facilities for use by the community and will assist activation of the public plaza after hours.</w:t>
            </w:r>
          </w:p>
          <w:p w14:paraId="4FBB23E1" w14:textId="7F6C10EE" w:rsidR="0008159C" w:rsidRDefault="0008159C" w:rsidP="0008159C">
            <w:pPr>
              <w:pStyle w:val="TableText"/>
            </w:pPr>
          </w:p>
        </w:tc>
        <w:tc>
          <w:tcPr>
            <w:tcW w:w="4931" w:type="dxa"/>
            <w:vMerge w:val="restart"/>
            <w:shd w:val="clear" w:color="auto" w:fill="FFFFFF" w:themeFill="background1"/>
          </w:tcPr>
          <w:p w14:paraId="595C4009" w14:textId="7E3263AD" w:rsidR="0008159C" w:rsidRPr="00FE59EC" w:rsidRDefault="0008159C" w:rsidP="0008159C">
            <w:pPr>
              <w:pStyle w:val="TableText"/>
              <w:rPr>
                <w:b/>
                <w:bCs/>
              </w:rPr>
            </w:pPr>
            <w:r w:rsidRPr="00FE59EC">
              <w:rPr>
                <w:b/>
                <w:bCs/>
              </w:rPr>
              <w:t>Complies</w:t>
            </w:r>
          </w:p>
        </w:tc>
      </w:tr>
      <w:tr w:rsidR="0008159C" w14:paraId="2339EF17" w14:textId="77777777" w:rsidTr="00FA4E31">
        <w:tc>
          <w:tcPr>
            <w:tcW w:w="4536" w:type="dxa"/>
            <w:shd w:val="clear" w:color="auto" w:fill="FFFFFF" w:themeFill="background1"/>
          </w:tcPr>
          <w:p w14:paraId="718FEC79" w14:textId="0945425B" w:rsidR="0008159C" w:rsidRDefault="0008159C" w:rsidP="0008159C">
            <w:pPr>
              <w:pStyle w:val="TableText"/>
            </w:pPr>
            <w:r>
              <w:t>b) Links should “look” as public as possible.</w:t>
            </w:r>
          </w:p>
        </w:tc>
        <w:tc>
          <w:tcPr>
            <w:tcW w:w="5103" w:type="dxa"/>
            <w:vMerge/>
            <w:shd w:val="clear" w:color="auto" w:fill="FFFFFF" w:themeFill="background1"/>
          </w:tcPr>
          <w:p w14:paraId="396FD684" w14:textId="77777777" w:rsidR="0008159C" w:rsidRDefault="0008159C" w:rsidP="0008159C">
            <w:pPr>
              <w:pStyle w:val="TableText"/>
            </w:pPr>
          </w:p>
        </w:tc>
        <w:tc>
          <w:tcPr>
            <w:tcW w:w="4931" w:type="dxa"/>
            <w:vMerge/>
            <w:shd w:val="clear" w:color="auto" w:fill="FFFFFF" w:themeFill="background1"/>
          </w:tcPr>
          <w:p w14:paraId="128569D6" w14:textId="77777777" w:rsidR="0008159C" w:rsidRDefault="0008159C" w:rsidP="0008159C">
            <w:pPr>
              <w:pStyle w:val="TableText"/>
            </w:pPr>
          </w:p>
        </w:tc>
      </w:tr>
      <w:tr w:rsidR="0008159C" w14:paraId="1D69FC85" w14:textId="77777777" w:rsidTr="00FA4E31">
        <w:tc>
          <w:tcPr>
            <w:tcW w:w="4536" w:type="dxa"/>
            <w:shd w:val="clear" w:color="auto" w:fill="FFFFFF" w:themeFill="background1"/>
          </w:tcPr>
          <w:p w14:paraId="381E6CE0" w14:textId="6895A137" w:rsidR="0008159C" w:rsidRDefault="0008159C" w:rsidP="0008159C">
            <w:pPr>
              <w:pStyle w:val="TableText"/>
            </w:pPr>
            <w:r>
              <w:t>c) Desirable, direct, mid-block connections are to be provided and are to be maintained to achieve permeability and 24 hour public access between key landmarks and civic spaces or buildings within Queanbeyan, including the Q, the Showgrounds, the River, and Queanbeyan Park.</w:t>
            </w:r>
          </w:p>
        </w:tc>
        <w:tc>
          <w:tcPr>
            <w:tcW w:w="5103" w:type="dxa"/>
            <w:vMerge/>
            <w:shd w:val="clear" w:color="auto" w:fill="FFFFFF" w:themeFill="background1"/>
          </w:tcPr>
          <w:p w14:paraId="0243AC63" w14:textId="77777777" w:rsidR="0008159C" w:rsidRDefault="0008159C" w:rsidP="0008159C">
            <w:pPr>
              <w:pStyle w:val="TableText"/>
            </w:pPr>
          </w:p>
        </w:tc>
        <w:tc>
          <w:tcPr>
            <w:tcW w:w="4931" w:type="dxa"/>
            <w:vMerge/>
            <w:shd w:val="clear" w:color="auto" w:fill="FFFFFF" w:themeFill="background1"/>
          </w:tcPr>
          <w:p w14:paraId="793911BA" w14:textId="77777777" w:rsidR="0008159C" w:rsidRDefault="0008159C" w:rsidP="0008159C">
            <w:pPr>
              <w:pStyle w:val="TableText"/>
            </w:pPr>
          </w:p>
        </w:tc>
      </w:tr>
      <w:tr w:rsidR="0008159C" w14:paraId="67CEC2B0" w14:textId="77777777" w:rsidTr="00FA4E31">
        <w:tc>
          <w:tcPr>
            <w:tcW w:w="4536" w:type="dxa"/>
            <w:shd w:val="clear" w:color="auto" w:fill="FFFFFF" w:themeFill="background1"/>
          </w:tcPr>
          <w:p w14:paraId="344655BA" w14:textId="0192DE48" w:rsidR="0008159C" w:rsidRDefault="0008159C" w:rsidP="0008159C">
            <w:pPr>
              <w:pStyle w:val="TableText"/>
            </w:pPr>
            <w:r>
              <w:t>d) New mid-block connections are to have a minimum width of 3m, have active frontages, and are to be designed for safe and secure usage.</w:t>
            </w:r>
          </w:p>
        </w:tc>
        <w:tc>
          <w:tcPr>
            <w:tcW w:w="5103" w:type="dxa"/>
            <w:shd w:val="clear" w:color="auto" w:fill="FFFFFF" w:themeFill="background1"/>
          </w:tcPr>
          <w:p w14:paraId="0953976A" w14:textId="77777777" w:rsidR="0008159C" w:rsidRDefault="0008159C" w:rsidP="0008159C">
            <w:pPr>
              <w:pStyle w:val="TableText"/>
            </w:pPr>
          </w:p>
        </w:tc>
        <w:tc>
          <w:tcPr>
            <w:tcW w:w="4931" w:type="dxa"/>
            <w:shd w:val="clear" w:color="auto" w:fill="FFFFFF" w:themeFill="background1"/>
          </w:tcPr>
          <w:p w14:paraId="556F1A8C" w14:textId="77777777" w:rsidR="0008159C" w:rsidRDefault="0008159C" w:rsidP="0008159C">
            <w:pPr>
              <w:pStyle w:val="TableText"/>
              <w:rPr>
                <w:b/>
                <w:bCs/>
              </w:rPr>
            </w:pPr>
            <w:r w:rsidRPr="00FE59EC">
              <w:rPr>
                <w:b/>
                <w:bCs/>
              </w:rPr>
              <w:t xml:space="preserve">Complies </w:t>
            </w:r>
          </w:p>
          <w:p w14:paraId="66E484FD" w14:textId="0DAC40CC" w:rsidR="0008159C" w:rsidRPr="00FE59EC" w:rsidRDefault="0008159C" w:rsidP="0008159C">
            <w:pPr>
              <w:pStyle w:val="TableText"/>
            </w:pPr>
            <w:r w:rsidRPr="00FE59EC">
              <w:t>The proposed pedestrian laneway has a minimum width of approximately 5m.</w:t>
            </w:r>
          </w:p>
        </w:tc>
      </w:tr>
      <w:tr w:rsidR="0008159C" w14:paraId="4C7C8BB5" w14:textId="77777777" w:rsidTr="00FA4E31">
        <w:tc>
          <w:tcPr>
            <w:tcW w:w="4536" w:type="dxa"/>
            <w:shd w:val="clear" w:color="auto" w:fill="FFFFFF" w:themeFill="background1"/>
          </w:tcPr>
          <w:p w14:paraId="0370A792" w14:textId="20A48D76" w:rsidR="0008159C" w:rsidRDefault="0008159C" w:rsidP="0008159C">
            <w:pPr>
              <w:pStyle w:val="TableText"/>
            </w:pPr>
            <w:r>
              <w:t>e) New mid-block connections are particularly encouraged east-west between Lowe and Collett Streets.</w:t>
            </w:r>
          </w:p>
        </w:tc>
        <w:tc>
          <w:tcPr>
            <w:tcW w:w="5103" w:type="dxa"/>
            <w:shd w:val="clear" w:color="auto" w:fill="FFFFFF" w:themeFill="background1"/>
          </w:tcPr>
          <w:p w14:paraId="13D9479C" w14:textId="501F6AEC" w:rsidR="0008159C" w:rsidRDefault="0008159C" w:rsidP="0008159C">
            <w:pPr>
              <w:pStyle w:val="TableText"/>
            </w:pPr>
          </w:p>
        </w:tc>
        <w:tc>
          <w:tcPr>
            <w:tcW w:w="4931" w:type="dxa"/>
            <w:shd w:val="clear" w:color="auto" w:fill="FFFFFF" w:themeFill="background1"/>
          </w:tcPr>
          <w:p w14:paraId="12D8E67C" w14:textId="77777777" w:rsidR="0008159C" w:rsidRPr="00FE59EC" w:rsidRDefault="0008159C" w:rsidP="0008159C">
            <w:pPr>
              <w:pStyle w:val="TableText"/>
              <w:rPr>
                <w:b/>
                <w:bCs/>
              </w:rPr>
            </w:pPr>
            <w:r w:rsidRPr="00FE59EC">
              <w:rPr>
                <w:b/>
                <w:bCs/>
              </w:rPr>
              <w:t xml:space="preserve">Not applicable </w:t>
            </w:r>
          </w:p>
          <w:p w14:paraId="119CEEA9" w14:textId="4400EC46" w:rsidR="0008159C" w:rsidRDefault="0008159C" w:rsidP="0008159C">
            <w:pPr>
              <w:pStyle w:val="TableText"/>
            </w:pPr>
            <w:r>
              <w:t>Subject site does not front Loew of Collett Streets</w:t>
            </w:r>
          </w:p>
        </w:tc>
      </w:tr>
      <w:tr w:rsidR="0008159C" w14:paraId="1E873F65" w14:textId="77777777" w:rsidTr="00FA4E31">
        <w:tc>
          <w:tcPr>
            <w:tcW w:w="4536" w:type="dxa"/>
            <w:shd w:val="clear" w:color="auto" w:fill="FFFFFF" w:themeFill="background1"/>
          </w:tcPr>
          <w:p w14:paraId="21E9F352" w14:textId="6E63D4A4" w:rsidR="0008159C" w:rsidRDefault="0008159C" w:rsidP="0008159C">
            <w:pPr>
              <w:pStyle w:val="TableText"/>
            </w:pPr>
            <w:r>
              <w:lastRenderedPageBreak/>
              <w:t>f) All existing connections and pathways through sites are to be maintained or replaced.</w:t>
            </w:r>
          </w:p>
        </w:tc>
        <w:tc>
          <w:tcPr>
            <w:tcW w:w="5103" w:type="dxa"/>
            <w:shd w:val="clear" w:color="auto" w:fill="FFFFFF" w:themeFill="background1"/>
          </w:tcPr>
          <w:p w14:paraId="272865C2" w14:textId="77777777" w:rsidR="0008159C" w:rsidRDefault="0008159C" w:rsidP="0008159C">
            <w:pPr>
              <w:pStyle w:val="TableText"/>
            </w:pPr>
          </w:p>
        </w:tc>
        <w:tc>
          <w:tcPr>
            <w:tcW w:w="4931" w:type="dxa"/>
            <w:shd w:val="clear" w:color="auto" w:fill="FFFFFF" w:themeFill="background1"/>
          </w:tcPr>
          <w:p w14:paraId="53D49C91" w14:textId="7C014A20" w:rsidR="0008159C" w:rsidRPr="00FE59EC" w:rsidRDefault="0008159C" w:rsidP="0008159C">
            <w:pPr>
              <w:pStyle w:val="TableText"/>
              <w:rPr>
                <w:b/>
                <w:bCs/>
              </w:rPr>
            </w:pPr>
            <w:r w:rsidRPr="00FE59EC">
              <w:rPr>
                <w:b/>
                <w:bCs/>
              </w:rPr>
              <w:t xml:space="preserve">Complies </w:t>
            </w:r>
          </w:p>
        </w:tc>
      </w:tr>
      <w:tr w:rsidR="0008159C" w14:paraId="289D873C" w14:textId="77777777" w:rsidTr="00FA4E31">
        <w:tc>
          <w:tcPr>
            <w:tcW w:w="4536" w:type="dxa"/>
            <w:shd w:val="clear" w:color="auto" w:fill="FFFFFF" w:themeFill="background1"/>
          </w:tcPr>
          <w:p w14:paraId="62572E99" w14:textId="33E38125" w:rsidR="0008159C" w:rsidRDefault="0008159C" w:rsidP="0008159C">
            <w:pPr>
              <w:pStyle w:val="TableText"/>
            </w:pPr>
            <w:r>
              <w:t>g) Activity along the links is welcome to add interest, generate pedestrian numbers, (a reason to be there) and provide safety.</w:t>
            </w:r>
          </w:p>
        </w:tc>
        <w:tc>
          <w:tcPr>
            <w:tcW w:w="5103" w:type="dxa"/>
            <w:shd w:val="clear" w:color="auto" w:fill="FFFFFF" w:themeFill="background1"/>
          </w:tcPr>
          <w:p w14:paraId="45A399D2" w14:textId="73BBACE8" w:rsidR="0008159C" w:rsidRDefault="0008159C" w:rsidP="0008159C">
            <w:pPr>
              <w:pStyle w:val="TableText"/>
            </w:pPr>
            <w:r>
              <w:t>The proposed public plaza will provide facilities for use by the community.</w:t>
            </w:r>
          </w:p>
        </w:tc>
        <w:tc>
          <w:tcPr>
            <w:tcW w:w="4931" w:type="dxa"/>
            <w:shd w:val="clear" w:color="auto" w:fill="FFFFFF" w:themeFill="background1"/>
          </w:tcPr>
          <w:p w14:paraId="3050D8E5" w14:textId="5F61F068" w:rsidR="0008159C" w:rsidRPr="00FE59EC" w:rsidRDefault="0008159C" w:rsidP="0008159C">
            <w:pPr>
              <w:pStyle w:val="TableText"/>
              <w:rPr>
                <w:b/>
                <w:bCs/>
              </w:rPr>
            </w:pPr>
            <w:r w:rsidRPr="00FE59EC">
              <w:rPr>
                <w:b/>
                <w:bCs/>
              </w:rPr>
              <w:t>Complies</w:t>
            </w:r>
          </w:p>
        </w:tc>
      </w:tr>
      <w:tr w:rsidR="0008159C" w14:paraId="577DDAE5" w14:textId="77777777" w:rsidTr="00FA4E31">
        <w:tc>
          <w:tcPr>
            <w:tcW w:w="4536" w:type="dxa"/>
            <w:shd w:val="clear" w:color="auto" w:fill="FFFFFF" w:themeFill="background1"/>
          </w:tcPr>
          <w:p w14:paraId="57631AA4" w14:textId="32086B9C" w:rsidR="0008159C" w:rsidRDefault="0008159C" w:rsidP="0008159C">
            <w:pPr>
              <w:pStyle w:val="TableText"/>
            </w:pPr>
            <w:r>
              <w:t>h) Clear lines of sight, active frontage, access to natural light and short length.</w:t>
            </w:r>
          </w:p>
        </w:tc>
        <w:tc>
          <w:tcPr>
            <w:tcW w:w="5103" w:type="dxa"/>
            <w:shd w:val="clear" w:color="auto" w:fill="FFFFFF" w:themeFill="background1"/>
          </w:tcPr>
          <w:p w14:paraId="1001F29A" w14:textId="7791C6A7" w:rsidR="0008159C" w:rsidRDefault="0008159C" w:rsidP="0008159C">
            <w:pPr>
              <w:pStyle w:val="TableText"/>
            </w:pPr>
            <w:r>
              <w:t>The proposed laneways are designed to maximise pedestrian safety and promote active frontages.</w:t>
            </w:r>
          </w:p>
        </w:tc>
        <w:tc>
          <w:tcPr>
            <w:tcW w:w="4931" w:type="dxa"/>
            <w:shd w:val="clear" w:color="auto" w:fill="FFFFFF" w:themeFill="background1"/>
          </w:tcPr>
          <w:p w14:paraId="35C4BC70" w14:textId="6809C9CD" w:rsidR="0008159C" w:rsidRPr="00FE59EC" w:rsidRDefault="0008159C" w:rsidP="0008159C">
            <w:pPr>
              <w:pStyle w:val="TableText"/>
              <w:rPr>
                <w:b/>
                <w:bCs/>
              </w:rPr>
            </w:pPr>
            <w:r w:rsidRPr="00FE59EC">
              <w:rPr>
                <w:b/>
                <w:bCs/>
              </w:rPr>
              <w:t>Complies</w:t>
            </w:r>
          </w:p>
        </w:tc>
      </w:tr>
      <w:tr w:rsidR="0008159C" w14:paraId="629BD784" w14:textId="77777777" w:rsidTr="00FA4E31">
        <w:tc>
          <w:tcPr>
            <w:tcW w:w="4536" w:type="dxa"/>
            <w:shd w:val="clear" w:color="auto" w:fill="FFFFFF" w:themeFill="background1"/>
          </w:tcPr>
          <w:p w14:paraId="2CDFF13D" w14:textId="66E31F80" w:rsidR="0008159C" w:rsidRDefault="0008159C" w:rsidP="0008159C">
            <w:pPr>
              <w:pStyle w:val="TableText"/>
            </w:pPr>
            <w:r>
              <w:t>i) Allow for surveillance from public places, through well lit, sheltered and the use of other devices to discourage anti social and/or criminal behaviour.</w:t>
            </w:r>
          </w:p>
        </w:tc>
        <w:tc>
          <w:tcPr>
            <w:tcW w:w="5103" w:type="dxa"/>
            <w:shd w:val="clear" w:color="auto" w:fill="FFFFFF" w:themeFill="background1"/>
          </w:tcPr>
          <w:p w14:paraId="26367293" w14:textId="4DA98E6D" w:rsidR="0008159C" w:rsidRDefault="0008159C" w:rsidP="0008159C">
            <w:pPr>
              <w:pStyle w:val="TableText"/>
            </w:pPr>
            <w:r>
              <w:t xml:space="preserve">Activation of the public plaza will increase activity after hours, maximising opportunities for casual surveillance. </w:t>
            </w:r>
          </w:p>
        </w:tc>
        <w:tc>
          <w:tcPr>
            <w:tcW w:w="4931" w:type="dxa"/>
            <w:shd w:val="clear" w:color="auto" w:fill="FFFFFF" w:themeFill="background1"/>
          </w:tcPr>
          <w:p w14:paraId="11D63AD6" w14:textId="1AF75D5C" w:rsidR="0008159C" w:rsidRPr="00FE59EC" w:rsidRDefault="0008159C" w:rsidP="0008159C">
            <w:pPr>
              <w:pStyle w:val="TableText"/>
              <w:rPr>
                <w:b/>
                <w:bCs/>
              </w:rPr>
            </w:pPr>
            <w:r w:rsidRPr="00FE59EC">
              <w:rPr>
                <w:b/>
                <w:bCs/>
              </w:rPr>
              <w:t>Complies</w:t>
            </w:r>
          </w:p>
        </w:tc>
      </w:tr>
      <w:tr w:rsidR="0008159C" w14:paraId="4861D0B1" w14:textId="77777777" w:rsidTr="00E7096B">
        <w:tc>
          <w:tcPr>
            <w:tcW w:w="4536" w:type="dxa"/>
            <w:tcBorders>
              <w:bottom w:val="single" w:sz="4" w:space="0" w:color="4E4E50" w:themeColor="accent2"/>
            </w:tcBorders>
            <w:shd w:val="clear" w:color="auto" w:fill="FFFFFF" w:themeFill="background1"/>
          </w:tcPr>
          <w:p w14:paraId="32A9E8E5" w14:textId="5C1D1344" w:rsidR="0008159C" w:rsidRDefault="0008159C" w:rsidP="0008159C">
            <w:pPr>
              <w:pStyle w:val="TableText"/>
            </w:pPr>
            <w:r>
              <w:t>j) Boulevard planting encourages pedestrian movement towards and along the River and is to be pursued on sites where this is appropriate.</w:t>
            </w:r>
          </w:p>
        </w:tc>
        <w:tc>
          <w:tcPr>
            <w:tcW w:w="5103" w:type="dxa"/>
            <w:tcBorders>
              <w:bottom w:val="single" w:sz="4" w:space="0" w:color="4E4E50" w:themeColor="accent2"/>
            </w:tcBorders>
            <w:shd w:val="clear" w:color="auto" w:fill="FFFFFF" w:themeFill="background1"/>
          </w:tcPr>
          <w:p w14:paraId="3B585F7A" w14:textId="21116DFD" w:rsidR="0008159C" w:rsidRDefault="0008159C" w:rsidP="0008159C">
            <w:pPr>
              <w:pStyle w:val="TableText"/>
            </w:pPr>
            <w:r>
              <w:t>-</w:t>
            </w:r>
          </w:p>
        </w:tc>
        <w:tc>
          <w:tcPr>
            <w:tcW w:w="4931" w:type="dxa"/>
            <w:tcBorders>
              <w:bottom w:val="single" w:sz="4" w:space="0" w:color="4E4E50" w:themeColor="accent2"/>
            </w:tcBorders>
            <w:shd w:val="clear" w:color="auto" w:fill="FFFFFF" w:themeFill="background1"/>
          </w:tcPr>
          <w:p w14:paraId="48538D55" w14:textId="5E9D85E3" w:rsidR="0008159C" w:rsidRPr="00FE59EC" w:rsidRDefault="0008159C" w:rsidP="0008159C">
            <w:pPr>
              <w:pStyle w:val="TableText"/>
              <w:rPr>
                <w:b/>
                <w:bCs/>
              </w:rPr>
            </w:pPr>
            <w:r w:rsidRPr="00FE59EC">
              <w:rPr>
                <w:b/>
                <w:bCs/>
              </w:rPr>
              <w:t>Not applicable</w:t>
            </w:r>
          </w:p>
        </w:tc>
      </w:tr>
      <w:tr w:rsidR="0008159C" w:rsidRPr="00E7096B" w14:paraId="2A20561C" w14:textId="77777777" w:rsidTr="00E7096B">
        <w:tc>
          <w:tcPr>
            <w:tcW w:w="4536" w:type="dxa"/>
            <w:shd w:val="clear" w:color="auto" w:fill="B7B7B9" w:themeFill="accent2" w:themeFillTint="66"/>
          </w:tcPr>
          <w:p w14:paraId="7BF29B74" w14:textId="4EB9521B" w:rsidR="0008159C" w:rsidRPr="00E7096B" w:rsidRDefault="0008159C" w:rsidP="0008159C">
            <w:pPr>
              <w:pStyle w:val="TableText"/>
              <w:rPr>
                <w:b/>
                <w:bCs/>
              </w:rPr>
            </w:pPr>
            <w:r w:rsidRPr="00E7096B">
              <w:rPr>
                <w:b/>
                <w:bCs/>
              </w:rPr>
              <w:t>6.2.16 Safety and Security</w:t>
            </w:r>
          </w:p>
        </w:tc>
        <w:tc>
          <w:tcPr>
            <w:tcW w:w="5103" w:type="dxa"/>
            <w:shd w:val="clear" w:color="auto" w:fill="B7B7B9" w:themeFill="accent2" w:themeFillTint="66"/>
          </w:tcPr>
          <w:p w14:paraId="25429BEA" w14:textId="77777777" w:rsidR="0008159C" w:rsidRPr="00E7096B" w:rsidRDefault="0008159C" w:rsidP="0008159C">
            <w:pPr>
              <w:pStyle w:val="TableText"/>
              <w:rPr>
                <w:b/>
                <w:bCs/>
              </w:rPr>
            </w:pPr>
          </w:p>
        </w:tc>
        <w:tc>
          <w:tcPr>
            <w:tcW w:w="4931" w:type="dxa"/>
            <w:shd w:val="clear" w:color="auto" w:fill="B7B7B9" w:themeFill="accent2" w:themeFillTint="66"/>
          </w:tcPr>
          <w:p w14:paraId="076433B5" w14:textId="77777777" w:rsidR="0008159C" w:rsidRPr="00E7096B" w:rsidRDefault="0008159C" w:rsidP="0008159C">
            <w:pPr>
              <w:pStyle w:val="TableText"/>
              <w:rPr>
                <w:b/>
                <w:bCs/>
              </w:rPr>
            </w:pPr>
          </w:p>
        </w:tc>
      </w:tr>
      <w:tr w:rsidR="0008159C" w14:paraId="3A91A27A" w14:textId="77777777" w:rsidTr="00E7096B">
        <w:tc>
          <w:tcPr>
            <w:tcW w:w="4536" w:type="dxa"/>
            <w:tcBorders>
              <w:bottom w:val="single" w:sz="4" w:space="0" w:color="4E4E50" w:themeColor="accent2"/>
            </w:tcBorders>
            <w:shd w:val="clear" w:color="auto" w:fill="FFFFFF" w:themeFill="background1"/>
          </w:tcPr>
          <w:p w14:paraId="095D7093" w14:textId="6E01EE93" w:rsidR="0008159C" w:rsidRDefault="0008159C" w:rsidP="0008159C">
            <w:pPr>
              <w:pStyle w:val="TableText"/>
            </w:pPr>
            <w:r>
              <w:t>a) Compliance with the applicable provisions of clause 2.9 of this DCP.</w:t>
            </w:r>
          </w:p>
        </w:tc>
        <w:tc>
          <w:tcPr>
            <w:tcW w:w="5103" w:type="dxa"/>
            <w:tcBorders>
              <w:bottom w:val="single" w:sz="4" w:space="0" w:color="4E4E50" w:themeColor="accent2"/>
            </w:tcBorders>
            <w:shd w:val="clear" w:color="auto" w:fill="FFFFFF" w:themeFill="background1"/>
          </w:tcPr>
          <w:p w14:paraId="60B471C5" w14:textId="40F1967A" w:rsidR="0008159C" w:rsidRDefault="0008159C" w:rsidP="0008159C">
            <w:pPr>
              <w:pStyle w:val="TableText"/>
            </w:pPr>
            <w:r>
              <w:t>Referral by Council to NSW Police required during DA assessment. CPTED principles considered in design.</w:t>
            </w:r>
          </w:p>
        </w:tc>
        <w:tc>
          <w:tcPr>
            <w:tcW w:w="4931" w:type="dxa"/>
            <w:tcBorders>
              <w:bottom w:val="single" w:sz="4" w:space="0" w:color="4E4E50" w:themeColor="accent2"/>
            </w:tcBorders>
            <w:shd w:val="clear" w:color="auto" w:fill="FFFFFF" w:themeFill="background1"/>
          </w:tcPr>
          <w:p w14:paraId="19F4C094" w14:textId="77777777" w:rsidR="0008159C" w:rsidRDefault="0008159C" w:rsidP="0008159C">
            <w:pPr>
              <w:pStyle w:val="TableText"/>
              <w:rPr>
                <w:b/>
                <w:bCs/>
              </w:rPr>
            </w:pPr>
            <w:r w:rsidRPr="00FE59EC">
              <w:rPr>
                <w:b/>
                <w:bCs/>
              </w:rPr>
              <w:t>Complies</w:t>
            </w:r>
          </w:p>
          <w:p w14:paraId="057D7F84" w14:textId="66E0000A" w:rsidR="0008159C" w:rsidRPr="00FE59EC" w:rsidRDefault="0008159C" w:rsidP="0008159C">
            <w:pPr>
              <w:pStyle w:val="TableText"/>
            </w:pPr>
            <w:r w:rsidRPr="00FE59EC">
              <w:t xml:space="preserve">Proposal complies with CPTED subject to recommendations from NSW Police. </w:t>
            </w:r>
          </w:p>
        </w:tc>
      </w:tr>
      <w:tr w:rsidR="0008159C" w14:paraId="20EE3DAA" w14:textId="77777777" w:rsidTr="00E7096B">
        <w:tc>
          <w:tcPr>
            <w:tcW w:w="4536" w:type="dxa"/>
            <w:shd w:val="clear" w:color="auto" w:fill="B7B7B9" w:themeFill="accent2" w:themeFillTint="66"/>
          </w:tcPr>
          <w:p w14:paraId="42A26437" w14:textId="095D063D" w:rsidR="0008159C" w:rsidRPr="00E7096B" w:rsidRDefault="0008159C" w:rsidP="0008159C">
            <w:pPr>
              <w:pStyle w:val="TableText"/>
              <w:rPr>
                <w:b/>
                <w:bCs/>
              </w:rPr>
            </w:pPr>
            <w:r>
              <w:rPr>
                <w:b/>
                <w:bCs/>
              </w:rPr>
              <w:t>6.2.17 Buildings Near Public Places</w:t>
            </w:r>
          </w:p>
        </w:tc>
        <w:tc>
          <w:tcPr>
            <w:tcW w:w="5103" w:type="dxa"/>
            <w:shd w:val="clear" w:color="auto" w:fill="B7B7B9" w:themeFill="accent2" w:themeFillTint="66"/>
          </w:tcPr>
          <w:p w14:paraId="6AEB6DFD" w14:textId="77777777" w:rsidR="0008159C" w:rsidRDefault="0008159C" w:rsidP="0008159C">
            <w:pPr>
              <w:pStyle w:val="TableText"/>
            </w:pPr>
          </w:p>
        </w:tc>
        <w:tc>
          <w:tcPr>
            <w:tcW w:w="4931" w:type="dxa"/>
            <w:shd w:val="clear" w:color="auto" w:fill="B7B7B9" w:themeFill="accent2" w:themeFillTint="66"/>
          </w:tcPr>
          <w:p w14:paraId="64E78535" w14:textId="77777777" w:rsidR="0008159C" w:rsidRDefault="0008159C" w:rsidP="0008159C">
            <w:pPr>
              <w:pStyle w:val="TableText"/>
            </w:pPr>
          </w:p>
        </w:tc>
      </w:tr>
      <w:tr w:rsidR="0008159C" w14:paraId="4E33584B" w14:textId="77777777" w:rsidTr="00FA4E31">
        <w:tc>
          <w:tcPr>
            <w:tcW w:w="4536" w:type="dxa"/>
            <w:shd w:val="clear" w:color="auto" w:fill="FFFFFF" w:themeFill="background1"/>
          </w:tcPr>
          <w:p w14:paraId="3882AB79" w14:textId="5ED720DE" w:rsidR="0008159C" w:rsidRDefault="0008159C" w:rsidP="0008159C">
            <w:pPr>
              <w:pStyle w:val="TableText"/>
            </w:pPr>
            <w:r>
              <w:t>a) As the main off-street car parks are major pedestrian generators, there should be active uses fronting these areas where possible, but not at the expense of primary frontage to the main street.</w:t>
            </w:r>
          </w:p>
        </w:tc>
        <w:tc>
          <w:tcPr>
            <w:tcW w:w="5103" w:type="dxa"/>
            <w:shd w:val="clear" w:color="auto" w:fill="FFFFFF" w:themeFill="background1"/>
          </w:tcPr>
          <w:p w14:paraId="07F91734" w14:textId="77777777" w:rsidR="0008159C" w:rsidRDefault="0008159C" w:rsidP="0008159C">
            <w:pPr>
              <w:pStyle w:val="TableText"/>
            </w:pPr>
          </w:p>
        </w:tc>
        <w:tc>
          <w:tcPr>
            <w:tcW w:w="4931" w:type="dxa"/>
            <w:shd w:val="clear" w:color="auto" w:fill="FFFFFF" w:themeFill="background1"/>
          </w:tcPr>
          <w:p w14:paraId="0F34F167" w14:textId="77777777" w:rsidR="0008159C" w:rsidRPr="00FE59EC" w:rsidRDefault="0008159C" w:rsidP="0008159C">
            <w:pPr>
              <w:pStyle w:val="TableText"/>
              <w:rPr>
                <w:b/>
                <w:bCs/>
              </w:rPr>
            </w:pPr>
            <w:r w:rsidRPr="00FE59EC">
              <w:rPr>
                <w:b/>
                <w:bCs/>
              </w:rPr>
              <w:t>Complies</w:t>
            </w:r>
          </w:p>
          <w:p w14:paraId="79FBDBFC" w14:textId="28452D37" w:rsidR="0008159C" w:rsidRDefault="0008159C" w:rsidP="0008159C">
            <w:pPr>
              <w:pStyle w:val="TableText"/>
            </w:pPr>
            <w:r>
              <w:t>Proposal established major public plaza adjacent to the Lowe Street Car Park.</w:t>
            </w:r>
          </w:p>
        </w:tc>
      </w:tr>
      <w:tr w:rsidR="0008159C" w14:paraId="6B9843D2" w14:textId="77777777" w:rsidTr="00FA4E31">
        <w:tc>
          <w:tcPr>
            <w:tcW w:w="4536" w:type="dxa"/>
            <w:shd w:val="clear" w:color="auto" w:fill="FFFFFF" w:themeFill="background1"/>
          </w:tcPr>
          <w:p w14:paraId="4450AF08" w14:textId="11ED9DE0" w:rsidR="0008159C" w:rsidRDefault="0008159C" w:rsidP="0008159C">
            <w:pPr>
              <w:pStyle w:val="TableText"/>
            </w:pPr>
            <w:r>
              <w:t>b) Service areas delivery and entering/storage including waste service areas should be screened from public view.</w:t>
            </w:r>
          </w:p>
        </w:tc>
        <w:tc>
          <w:tcPr>
            <w:tcW w:w="5103" w:type="dxa"/>
            <w:shd w:val="clear" w:color="auto" w:fill="FFFFFF" w:themeFill="background1"/>
          </w:tcPr>
          <w:p w14:paraId="66579F12" w14:textId="112FF97D" w:rsidR="0008159C" w:rsidRDefault="0008159C" w:rsidP="0008159C">
            <w:pPr>
              <w:pStyle w:val="TableText"/>
            </w:pPr>
            <w:r>
              <w:t>Vehicular access and services will be placed within the laneway and not impact on the streetscape.</w:t>
            </w:r>
          </w:p>
        </w:tc>
        <w:tc>
          <w:tcPr>
            <w:tcW w:w="4931" w:type="dxa"/>
            <w:shd w:val="clear" w:color="auto" w:fill="FFFFFF" w:themeFill="background1"/>
          </w:tcPr>
          <w:p w14:paraId="4A7E5539" w14:textId="5FA6AC0E" w:rsidR="0008159C" w:rsidRPr="00FE59EC" w:rsidRDefault="0008159C" w:rsidP="0008159C">
            <w:pPr>
              <w:pStyle w:val="TableText"/>
              <w:rPr>
                <w:b/>
                <w:bCs/>
              </w:rPr>
            </w:pPr>
            <w:r w:rsidRPr="00FE59EC">
              <w:rPr>
                <w:b/>
                <w:bCs/>
              </w:rPr>
              <w:t>Complies</w:t>
            </w:r>
          </w:p>
        </w:tc>
      </w:tr>
      <w:tr w:rsidR="0008159C" w14:paraId="5BC0D9DC" w14:textId="77777777" w:rsidTr="00FA4E31">
        <w:tc>
          <w:tcPr>
            <w:tcW w:w="4536" w:type="dxa"/>
            <w:shd w:val="clear" w:color="auto" w:fill="FFFFFF" w:themeFill="background1"/>
          </w:tcPr>
          <w:p w14:paraId="28F37A8D" w14:textId="2A294254" w:rsidR="0008159C" w:rsidRDefault="0008159C" w:rsidP="0008159C">
            <w:pPr>
              <w:pStyle w:val="TableText"/>
            </w:pPr>
            <w:r>
              <w:t xml:space="preserve">c) Buildings and open spaces are designed to face or have views to the Queanbeyan River, Queanbeyan Park, or distant mountain ranges, </w:t>
            </w:r>
            <w:r>
              <w:lastRenderedPageBreak/>
              <w:t>where achievable. In particular, development on Collett Street and Morisset Street maximises its relationship to the River including the use of terraces and open plazas.</w:t>
            </w:r>
          </w:p>
        </w:tc>
        <w:tc>
          <w:tcPr>
            <w:tcW w:w="5103" w:type="dxa"/>
            <w:shd w:val="clear" w:color="auto" w:fill="FFFFFF" w:themeFill="background1"/>
          </w:tcPr>
          <w:p w14:paraId="1FB134CA" w14:textId="77777777" w:rsidR="0008159C" w:rsidRDefault="0008159C" w:rsidP="0008159C">
            <w:pPr>
              <w:pStyle w:val="TableText"/>
            </w:pPr>
          </w:p>
        </w:tc>
        <w:tc>
          <w:tcPr>
            <w:tcW w:w="4931" w:type="dxa"/>
            <w:shd w:val="clear" w:color="auto" w:fill="FFFFFF" w:themeFill="background1"/>
          </w:tcPr>
          <w:p w14:paraId="1FFD113E" w14:textId="77777777" w:rsidR="0008159C" w:rsidRPr="00FE59EC" w:rsidRDefault="0008159C" w:rsidP="0008159C">
            <w:pPr>
              <w:pStyle w:val="TableText"/>
              <w:rPr>
                <w:b/>
                <w:bCs/>
              </w:rPr>
            </w:pPr>
            <w:r w:rsidRPr="00FE59EC">
              <w:rPr>
                <w:b/>
                <w:bCs/>
              </w:rPr>
              <w:t>Not applicable</w:t>
            </w:r>
          </w:p>
          <w:p w14:paraId="6C42DA62" w14:textId="52CB7EFC" w:rsidR="0008159C" w:rsidRDefault="0008159C" w:rsidP="0008159C">
            <w:pPr>
              <w:pStyle w:val="TableText"/>
            </w:pPr>
          </w:p>
        </w:tc>
      </w:tr>
      <w:tr w:rsidR="0008159C" w14:paraId="6214B107" w14:textId="77777777" w:rsidTr="00FA4E31">
        <w:tc>
          <w:tcPr>
            <w:tcW w:w="4536" w:type="dxa"/>
            <w:shd w:val="clear" w:color="auto" w:fill="FFFFFF" w:themeFill="background1"/>
          </w:tcPr>
          <w:p w14:paraId="7CA0D5C8" w14:textId="298616D9" w:rsidR="0008159C" w:rsidRDefault="0008159C" w:rsidP="0008159C">
            <w:pPr>
              <w:pStyle w:val="TableText"/>
            </w:pPr>
            <w:r>
              <w:t>d) Buildings adjoining or facing public open space are stepped in height to transition between the land uses.</w:t>
            </w:r>
          </w:p>
        </w:tc>
        <w:tc>
          <w:tcPr>
            <w:tcW w:w="5103" w:type="dxa"/>
            <w:shd w:val="clear" w:color="auto" w:fill="FFFFFF" w:themeFill="background1"/>
          </w:tcPr>
          <w:p w14:paraId="4136422E" w14:textId="19776ED3" w:rsidR="0008159C" w:rsidRDefault="0008159C" w:rsidP="0008159C">
            <w:pPr>
              <w:pStyle w:val="TableText"/>
            </w:pPr>
            <w:r>
              <w:t xml:space="preserve">The proposed development adopts a 14m setback above two storeys to address the pedestrian scale in the public plaza. </w:t>
            </w:r>
          </w:p>
        </w:tc>
        <w:tc>
          <w:tcPr>
            <w:tcW w:w="4931" w:type="dxa"/>
            <w:shd w:val="clear" w:color="auto" w:fill="FFFFFF" w:themeFill="background1"/>
          </w:tcPr>
          <w:p w14:paraId="5995C789" w14:textId="384F8FFF" w:rsidR="0008159C" w:rsidRPr="00FE59EC" w:rsidRDefault="0008159C" w:rsidP="0008159C">
            <w:pPr>
              <w:pStyle w:val="TableText"/>
              <w:rPr>
                <w:b/>
                <w:bCs/>
              </w:rPr>
            </w:pPr>
            <w:r w:rsidRPr="00FE59EC">
              <w:rPr>
                <w:b/>
                <w:bCs/>
              </w:rPr>
              <w:t>Complies</w:t>
            </w:r>
          </w:p>
        </w:tc>
      </w:tr>
      <w:tr w:rsidR="0008159C" w14:paraId="5D8354AA" w14:textId="77777777" w:rsidTr="00E7096B">
        <w:tc>
          <w:tcPr>
            <w:tcW w:w="4536" w:type="dxa"/>
            <w:tcBorders>
              <w:bottom w:val="single" w:sz="4" w:space="0" w:color="4E4E50" w:themeColor="accent2"/>
            </w:tcBorders>
            <w:shd w:val="clear" w:color="auto" w:fill="FFFFFF" w:themeFill="background1"/>
          </w:tcPr>
          <w:p w14:paraId="0D39A0D5" w14:textId="43A43DB0" w:rsidR="0008159C" w:rsidRDefault="0008159C" w:rsidP="0008159C">
            <w:pPr>
              <w:pStyle w:val="TableText"/>
            </w:pPr>
            <w:r>
              <w:t>e) Sunlight access to public spaces is protected and enhanced.</w:t>
            </w:r>
          </w:p>
        </w:tc>
        <w:tc>
          <w:tcPr>
            <w:tcW w:w="5103" w:type="dxa"/>
            <w:tcBorders>
              <w:bottom w:val="single" w:sz="4" w:space="0" w:color="4E4E50" w:themeColor="accent2"/>
            </w:tcBorders>
            <w:shd w:val="clear" w:color="auto" w:fill="FFFFFF" w:themeFill="background1"/>
          </w:tcPr>
          <w:p w14:paraId="76DBBCE7"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2932C60B" w14:textId="77777777" w:rsidR="0008159C" w:rsidRPr="005B558A" w:rsidRDefault="0008159C" w:rsidP="0008159C">
            <w:pPr>
              <w:pStyle w:val="TableText"/>
              <w:rPr>
                <w:b/>
                <w:bCs/>
              </w:rPr>
            </w:pPr>
            <w:r w:rsidRPr="005B558A">
              <w:rPr>
                <w:b/>
                <w:bCs/>
              </w:rPr>
              <w:t xml:space="preserve">Complies </w:t>
            </w:r>
          </w:p>
          <w:p w14:paraId="66EAEC97" w14:textId="427B9899" w:rsidR="0008159C" w:rsidRDefault="0008159C" w:rsidP="0008159C">
            <w:pPr>
              <w:pStyle w:val="TableText"/>
            </w:pPr>
            <w:r>
              <w:t>The Shadow Diagram demonstrates minimal overshadowing of the public plaza on the winter solstice.</w:t>
            </w:r>
          </w:p>
        </w:tc>
      </w:tr>
      <w:tr w:rsidR="0008159C" w14:paraId="271888FE" w14:textId="77777777" w:rsidTr="00E7096B">
        <w:tc>
          <w:tcPr>
            <w:tcW w:w="4536" w:type="dxa"/>
            <w:shd w:val="clear" w:color="auto" w:fill="B7B7B9" w:themeFill="accent2" w:themeFillTint="66"/>
          </w:tcPr>
          <w:p w14:paraId="7E06179D" w14:textId="1BEC1642" w:rsidR="0008159C" w:rsidRPr="00E7096B" w:rsidRDefault="0008159C" w:rsidP="0008159C">
            <w:pPr>
              <w:pStyle w:val="TableText"/>
              <w:rPr>
                <w:b/>
                <w:bCs/>
              </w:rPr>
            </w:pPr>
            <w:r>
              <w:rPr>
                <w:b/>
                <w:bCs/>
              </w:rPr>
              <w:t>6.2.19 Solar Access and Overshadowing</w:t>
            </w:r>
          </w:p>
        </w:tc>
        <w:tc>
          <w:tcPr>
            <w:tcW w:w="5103" w:type="dxa"/>
            <w:shd w:val="clear" w:color="auto" w:fill="B7B7B9" w:themeFill="accent2" w:themeFillTint="66"/>
          </w:tcPr>
          <w:p w14:paraId="4AC4DA5F" w14:textId="77777777" w:rsidR="0008159C" w:rsidRDefault="0008159C" w:rsidP="0008159C">
            <w:pPr>
              <w:pStyle w:val="TableText"/>
            </w:pPr>
          </w:p>
        </w:tc>
        <w:tc>
          <w:tcPr>
            <w:tcW w:w="4931" w:type="dxa"/>
            <w:shd w:val="clear" w:color="auto" w:fill="B7B7B9" w:themeFill="accent2" w:themeFillTint="66"/>
          </w:tcPr>
          <w:p w14:paraId="7CFA3D8F" w14:textId="77777777" w:rsidR="0008159C" w:rsidRDefault="0008159C" w:rsidP="0008159C">
            <w:pPr>
              <w:pStyle w:val="TableText"/>
            </w:pPr>
          </w:p>
        </w:tc>
      </w:tr>
      <w:tr w:rsidR="0008159C" w14:paraId="10F22130" w14:textId="77777777" w:rsidTr="00FA4E31">
        <w:tc>
          <w:tcPr>
            <w:tcW w:w="4536" w:type="dxa"/>
            <w:shd w:val="clear" w:color="auto" w:fill="FFFFFF" w:themeFill="background1"/>
          </w:tcPr>
          <w:p w14:paraId="3277C5F2" w14:textId="45DF1DF2" w:rsidR="0008159C" w:rsidRDefault="0008159C" w:rsidP="0008159C">
            <w:pPr>
              <w:pStyle w:val="TableText"/>
            </w:pPr>
            <w:r>
              <w:t>a) Development is to minimise any overshadowing of public or civic spaces such as outdoor eating areas</w:t>
            </w:r>
          </w:p>
        </w:tc>
        <w:tc>
          <w:tcPr>
            <w:tcW w:w="5103" w:type="dxa"/>
            <w:shd w:val="clear" w:color="auto" w:fill="FFFFFF" w:themeFill="background1"/>
          </w:tcPr>
          <w:p w14:paraId="37F1A550" w14:textId="77777777" w:rsidR="0008159C" w:rsidRDefault="0008159C" w:rsidP="0008159C">
            <w:pPr>
              <w:pStyle w:val="TableText"/>
            </w:pPr>
          </w:p>
        </w:tc>
        <w:tc>
          <w:tcPr>
            <w:tcW w:w="4931" w:type="dxa"/>
            <w:shd w:val="clear" w:color="auto" w:fill="FFFFFF" w:themeFill="background1"/>
          </w:tcPr>
          <w:p w14:paraId="5AF6E1AB" w14:textId="77777777" w:rsidR="0008159C" w:rsidRPr="005B558A" w:rsidRDefault="0008159C" w:rsidP="0008159C">
            <w:pPr>
              <w:pStyle w:val="TableText"/>
              <w:rPr>
                <w:b/>
                <w:bCs/>
              </w:rPr>
            </w:pPr>
            <w:r w:rsidRPr="005B558A">
              <w:rPr>
                <w:b/>
                <w:bCs/>
              </w:rPr>
              <w:t xml:space="preserve">Complies </w:t>
            </w:r>
          </w:p>
          <w:p w14:paraId="4C5FC414" w14:textId="4C3C3A68" w:rsidR="0008159C" w:rsidRDefault="0008159C" w:rsidP="0008159C">
            <w:pPr>
              <w:pStyle w:val="TableText"/>
            </w:pPr>
            <w:r>
              <w:t>The Shadow Diagram demonstrates minimal overshadowing of the public plaza on the winter solstice.</w:t>
            </w:r>
          </w:p>
        </w:tc>
      </w:tr>
      <w:tr w:rsidR="0008159C" w14:paraId="64BFB403" w14:textId="77777777" w:rsidTr="00FA4E31">
        <w:tc>
          <w:tcPr>
            <w:tcW w:w="4536" w:type="dxa"/>
            <w:shd w:val="clear" w:color="auto" w:fill="FFFFFF" w:themeFill="background1"/>
          </w:tcPr>
          <w:p w14:paraId="027855A3" w14:textId="43F95541" w:rsidR="0008159C" w:rsidRDefault="0008159C" w:rsidP="0008159C">
            <w:pPr>
              <w:pStyle w:val="TableText"/>
            </w:pPr>
            <w:r>
              <w:t>b) Development is to maximise solar exposure of windows in new buildings.</w:t>
            </w:r>
          </w:p>
        </w:tc>
        <w:tc>
          <w:tcPr>
            <w:tcW w:w="5103" w:type="dxa"/>
            <w:shd w:val="clear" w:color="auto" w:fill="FFFFFF" w:themeFill="background1"/>
          </w:tcPr>
          <w:p w14:paraId="5D79F5ED" w14:textId="77777777" w:rsidR="0008159C" w:rsidRDefault="0008159C" w:rsidP="0008159C">
            <w:pPr>
              <w:pStyle w:val="TableText"/>
            </w:pPr>
          </w:p>
        </w:tc>
        <w:tc>
          <w:tcPr>
            <w:tcW w:w="4931" w:type="dxa"/>
            <w:shd w:val="clear" w:color="auto" w:fill="FFFFFF" w:themeFill="background1"/>
          </w:tcPr>
          <w:p w14:paraId="5417A64B" w14:textId="77777777" w:rsidR="0008159C" w:rsidRPr="005B558A" w:rsidRDefault="0008159C" w:rsidP="0008159C">
            <w:pPr>
              <w:pStyle w:val="TableText"/>
              <w:rPr>
                <w:b/>
                <w:bCs/>
              </w:rPr>
            </w:pPr>
            <w:r w:rsidRPr="005B558A">
              <w:rPr>
                <w:b/>
                <w:bCs/>
              </w:rPr>
              <w:t>Complies</w:t>
            </w:r>
          </w:p>
          <w:p w14:paraId="2ADC6948" w14:textId="6CF40635" w:rsidR="0008159C" w:rsidRDefault="0008159C" w:rsidP="0008159C">
            <w:pPr>
              <w:pStyle w:val="TableText"/>
            </w:pPr>
            <w:r>
              <w:t xml:space="preserve">The proposal features curtain glass to maximise solar access. </w:t>
            </w:r>
          </w:p>
        </w:tc>
      </w:tr>
      <w:tr w:rsidR="0008159C" w14:paraId="0A0D38DC" w14:textId="77777777" w:rsidTr="00E7096B">
        <w:tc>
          <w:tcPr>
            <w:tcW w:w="4536" w:type="dxa"/>
            <w:tcBorders>
              <w:bottom w:val="single" w:sz="4" w:space="0" w:color="4E4E50" w:themeColor="accent2"/>
            </w:tcBorders>
            <w:shd w:val="clear" w:color="auto" w:fill="FFFFFF" w:themeFill="background1"/>
          </w:tcPr>
          <w:p w14:paraId="523A7090" w14:textId="47A1D7F1" w:rsidR="0008159C" w:rsidRDefault="0008159C" w:rsidP="0008159C">
            <w:pPr>
              <w:pStyle w:val="TableText"/>
            </w:pPr>
            <w:r>
              <w:t>c) New structures should not cast a shadow on pedestrian main street footpaths or other public areas for more than 4 hours on June 21 (winter solstice) unless such locations are already in shadow at that time.</w:t>
            </w:r>
          </w:p>
        </w:tc>
        <w:tc>
          <w:tcPr>
            <w:tcW w:w="5103" w:type="dxa"/>
            <w:tcBorders>
              <w:bottom w:val="single" w:sz="4" w:space="0" w:color="4E4E50" w:themeColor="accent2"/>
            </w:tcBorders>
            <w:shd w:val="clear" w:color="auto" w:fill="FFFFFF" w:themeFill="background1"/>
          </w:tcPr>
          <w:p w14:paraId="26FD1F47" w14:textId="77777777" w:rsidR="0008159C" w:rsidRDefault="0008159C" w:rsidP="0008159C">
            <w:pPr>
              <w:pStyle w:val="TableText"/>
            </w:pPr>
          </w:p>
        </w:tc>
        <w:tc>
          <w:tcPr>
            <w:tcW w:w="4931" w:type="dxa"/>
            <w:tcBorders>
              <w:bottom w:val="single" w:sz="4" w:space="0" w:color="4E4E50" w:themeColor="accent2"/>
            </w:tcBorders>
            <w:shd w:val="clear" w:color="auto" w:fill="FFFFFF" w:themeFill="background1"/>
          </w:tcPr>
          <w:p w14:paraId="51465493" w14:textId="77777777" w:rsidR="0008159C" w:rsidRPr="005B558A" w:rsidRDefault="0008159C" w:rsidP="0008159C">
            <w:pPr>
              <w:pStyle w:val="TableText"/>
              <w:rPr>
                <w:b/>
                <w:bCs/>
              </w:rPr>
            </w:pPr>
            <w:r w:rsidRPr="005B558A">
              <w:rPr>
                <w:b/>
                <w:bCs/>
              </w:rPr>
              <w:t>Complies</w:t>
            </w:r>
          </w:p>
          <w:p w14:paraId="48A02D85" w14:textId="77777777" w:rsidR="0008159C" w:rsidRDefault="0008159C" w:rsidP="0008159C">
            <w:pPr>
              <w:pStyle w:val="TableText"/>
            </w:pPr>
            <w:r>
              <w:t>The Crawford Street footpath is affected by afternoon sun only as shown in the Solar Diagrams.</w:t>
            </w:r>
          </w:p>
          <w:p w14:paraId="57A5ADE6" w14:textId="626343B4" w:rsidR="0008159C" w:rsidRDefault="0008159C" w:rsidP="0008159C">
            <w:pPr>
              <w:pStyle w:val="TableText"/>
            </w:pPr>
            <w:r>
              <w:t xml:space="preserve">The area immediately out the front of The Q Theatre is already in shadow. </w:t>
            </w:r>
          </w:p>
        </w:tc>
      </w:tr>
      <w:tr w:rsidR="0008159C" w14:paraId="336B30DA" w14:textId="77777777" w:rsidTr="00C4004E">
        <w:tc>
          <w:tcPr>
            <w:tcW w:w="4536" w:type="dxa"/>
            <w:tcBorders>
              <w:bottom w:val="single" w:sz="4" w:space="0" w:color="4E4E50" w:themeColor="accent2"/>
            </w:tcBorders>
            <w:shd w:val="clear" w:color="auto" w:fill="B7B7B9" w:themeFill="accent2" w:themeFillTint="66"/>
          </w:tcPr>
          <w:p w14:paraId="1784EC60" w14:textId="185DB897" w:rsidR="0008159C" w:rsidRPr="00E7096B" w:rsidRDefault="0008159C" w:rsidP="0008159C">
            <w:pPr>
              <w:pStyle w:val="TableText"/>
              <w:rPr>
                <w:b/>
                <w:bCs/>
              </w:rPr>
            </w:pPr>
            <w:r>
              <w:rPr>
                <w:b/>
                <w:bCs/>
              </w:rPr>
              <w:t>6.3 Car Parking, Access and Servicing</w:t>
            </w:r>
          </w:p>
        </w:tc>
        <w:tc>
          <w:tcPr>
            <w:tcW w:w="5103" w:type="dxa"/>
            <w:tcBorders>
              <w:bottom w:val="single" w:sz="4" w:space="0" w:color="4E4E50" w:themeColor="accent2"/>
            </w:tcBorders>
            <w:shd w:val="clear" w:color="auto" w:fill="B7B7B9" w:themeFill="accent2" w:themeFillTint="66"/>
          </w:tcPr>
          <w:p w14:paraId="616CD173" w14:textId="77777777" w:rsidR="0008159C" w:rsidRDefault="0008159C" w:rsidP="0008159C">
            <w:pPr>
              <w:pStyle w:val="TableText"/>
            </w:pPr>
          </w:p>
        </w:tc>
        <w:tc>
          <w:tcPr>
            <w:tcW w:w="4931" w:type="dxa"/>
            <w:tcBorders>
              <w:bottom w:val="single" w:sz="4" w:space="0" w:color="4E4E50" w:themeColor="accent2"/>
            </w:tcBorders>
            <w:shd w:val="clear" w:color="auto" w:fill="B7B7B9" w:themeFill="accent2" w:themeFillTint="66"/>
          </w:tcPr>
          <w:p w14:paraId="26AC19EC" w14:textId="77777777" w:rsidR="0008159C" w:rsidRDefault="0008159C" w:rsidP="0008159C">
            <w:pPr>
              <w:pStyle w:val="TableText"/>
            </w:pPr>
          </w:p>
        </w:tc>
      </w:tr>
      <w:tr w:rsidR="0008159C" w14:paraId="3EF0A1C3" w14:textId="77777777" w:rsidTr="006211B5">
        <w:tc>
          <w:tcPr>
            <w:tcW w:w="4536" w:type="dxa"/>
            <w:tcBorders>
              <w:bottom w:val="single" w:sz="4" w:space="0" w:color="4E4E50" w:themeColor="accent2"/>
            </w:tcBorders>
            <w:shd w:val="clear" w:color="auto" w:fill="FFFFFF" w:themeFill="background1"/>
          </w:tcPr>
          <w:p w14:paraId="033CDEC2" w14:textId="55F9E9C8" w:rsidR="0008159C" w:rsidRDefault="0008159C" w:rsidP="0008159C">
            <w:pPr>
              <w:pStyle w:val="TableText"/>
            </w:pPr>
            <w:r>
              <w:t>a) Compliance with the relevant controls in clause 2.2 of this DCP.</w:t>
            </w:r>
          </w:p>
        </w:tc>
        <w:tc>
          <w:tcPr>
            <w:tcW w:w="5103" w:type="dxa"/>
            <w:tcBorders>
              <w:bottom w:val="single" w:sz="4" w:space="0" w:color="4E4E50" w:themeColor="accent2"/>
            </w:tcBorders>
            <w:shd w:val="clear" w:color="auto" w:fill="FFFFFF" w:themeFill="background1"/>
          </w:tcPr>
          <w:p w14:paraId="513A6176" w14:textId="586000A1" w:rsidR="0008159C" w:rsidRDefault="0008159C" w:rsidP="0008159C">
            <w:pPr>
              <w:pStyle w:val="TableText"/>
            </w:pPr>
            <w:r>
              <w:t>See section 2.2</w:t>
            </w:r>
          </w:p>
        </w:tc>
        <w:tc>
          <w:tcPr>
            <w:tcW w:w="4931" w:type="dxa"/>
            <w:tcBorders>
              <w:bottom w:val="single" w:sz="4" w:space="0" w:color="4E4E50" w:themeColor="accent2"/>
            </w:tcBorders>
            <w:shd w:val="clear" w:color="auto" w:fill="FFFFFF" w:themeFill="background1"/>
          </w:tcPr>
          <w:p w14:paraId="47B9D36C" w14:textId="1A2FF0FA" w:rsidR="0008159C" w:rsidRPr="005B558A" w:rsidRDefault="0008159C" w:rsidP="0008159C">
            <w:pPr>
              <w:pStyle w:val="TableText"/>
              <w:rPr>
                <w:b/>
                <w:bCs/>
              </w:rPr>
            </w:pPr>
            <w:r w:rsidRPr="005B558A">
              <w:rPr>
                <w:b/>
                <w:bCs/>
              </w:rPr>
              <w:t>Complies</w:t>
            </w:r>
          </w:p>
        </w:tc>
      </w:tr>
      <w:tr w:rsidR="0008159C" w14:paraId="5DD277A6" w14:textId="77777777" w:rsidTr="00DE2D97">
        <w:tc>
          <w:tcPr>
            <w:tcW w:w="14570" w:type="dxa"/>
            <w:gridSpan w:val="3"/>
            <w:shd w:val="clear" w:color="auto" w:fill="B7B7B9" w:themeFill="accent2" w:themeFillTint="66"/>
          </w:tcPr>
          <w:p w14:paraId="29C74C9A" w14:textId="455FFDBD" w:rsidR="0008159C" w:rsidRDefault="0008159C" w:rsidP="0008159C">
            <w:pPr>
              <w:pStyle w:val="TableText"/>
            </w:pPr>
            <w:r>
              <w:rPr>
                <w:b/>
                <w:bCs/>
              </w:rPr>
              <w:t>6.3.4 Pedestrian Access and Mobility</w:t>
            </w:r>
          </w:p>
        </w:tc>
      </w:tr>
      <w:tr w:rsidR="0008159C" w14:paraId="2F563214" w14:textId="77777777" w:rsidTr="00FA4E31">
        <w:tc>
          <w:tcPr>
            <w:tcW w:w="4536" w:type="dxa"/>
            <w:shd w:val="clear" w:color="auto" w:fill="FFFFFF" w:themeFill="background1"/>
          </w:tcPr>
          <w:p w14:paraId="203DF372" w14:textId="39D66A3A" w:rsidR="0008159C" w:rsidRDefault="0008159C" w:rsidP="0008159C">
            <w:pPr>
              <w:pStyle w:val="TableText"/>
            </w:pPr>
            <w:r>
              <w:lastRenderedPageBreak/>
              <w:t>a) To assist people with a disability the main building entry points should be clearly visible from primary street frontages and enhanced as appropriate with awnings, building signage or high quality architectural features that improve clarity of building address and contribute to visitor and occupant amenity.</w:t>
            </w:r>
          </w:p>
        </w:tc>
        <w:tc>
          <w:tcPr>
            <w:tcW w:w="5103" w:type="dxa"/>
            <w:shd w:val="clear" w:color="auto" w:fill="FFFFFF" w:themeFill="background1"/>
          </w:tcPr>
          <w:p w14:paraId="03B12A7E" w14:textId="4BF8C777" w:rsidR="0008159C" w:rsidRDefault="0008159C" w:rsidP="0008159C">
            <w:pPr>
              <w:pStyle w:val="TableText"/>
            </w:pPr>
            <w:r>
              <w:t xml:space="preserve">The main building entry is clearly visible from Crawford street as a result of extensive works to the forecourt/entry. </w:t>
            </w:r>
          </w:p>
        </w:tc>
        <w:tc>
          <w:tcPr>
            <w:tcW w:w="4931" w:type="dxa"/>
            <w:shd w:val="clear" w:color="auto" w:fill="FFFFFF" w:themeFill="background1"/>
          </w:tcPr>
          <w:p w14:paraId="3EB7E197" w14:textId="294A9971" w:rsidR="0008159C" w:rsidRPr="005B558A" w:rsidRDefault="0008159C" w:rsidP="0008159C">
            <w:pPr>
              <w:pStyle w:val="TableText"/>
              <w:rPr>
                <w:b/>
                <w:bCs/>
              </w:rPr>
            </w:pPr>
            <w:r w:rsidRPr="005B558A">
              <w:rPr>
                <w:b/>
                <w:bCs/>
              </w:rPr>
              <w:t>Complies</w:t>
            </w:r>
          </w:p>
        </w:tc>
      </w:tr>
      <w:tr w:rsidR="0008159C" w14:paraId="349B03C7" w14:textId="77777777" w:rsidTr="00FA4E31">
        <w:tc>
          <w:tcPr>
            <w:tcW w:w="4536" w:type="dxa"/>
            <w:shd w:val="clear" w:color="auto" w:fill="FFFFFF" w:themeFill="background1"/>
          </w:tcPr>
          <w:p w14:paraId="04414C59" w14:textId="1C4663D2" w:rsidR="0008159C" w:rsidRDefault="0008159C" w:rsidP="0008159C">
            <w:pPr>
              <w:pStyle w:val="TableText"/>
            </w:pPr>
            <w:r>
              <w:t>b) The design of facilities (including car parking requirements) for disabled persons shall comply with the relevant Australian Standard (AS 1428 Pt 1 and 2 or as amended) and the Disability Discrimination Act 1992 (as amended).</w:t>
            </w:r>
          </w:p>
        </w:tc>
        <w:tc>
          <w:tcPr>
            <w:tcW w:w="5103" w:type="dxa"/>
            <w:shd w:val="clear" w:color="auto" w:fill="FFFFFF" w:themeFill="background1"/>
          </w:tcPr>
          <w:p w14:paraId="581AA2CF" w14:textId="2937BEBD" w:rsidR="0008159C" w:rsidRDefault="0008159C" w:rsidP="0008159C">
            <w:pPr>
              <w:pStyle w:val="TableText"/>
            </w:pPr>
            <w:r>
              <w:t>The design of all facilities is to promote accessibility in line with the relevant Australian standards.</w:t>
            </w:r>
          </w:p>
        </w:tc>
        <w:tc>
          <w:tcPr>
            <w:tcW w:w="4931" w:type="dxa"/>
            <w:shd w:val="clear" w:color="auto" w:fill="FFFFFF" w:themeFill="background1"/>
          </w:tcPr>
          <w:p w14:paraId="68E0CA9B" w14:textId="77777777" w:rsidR="0008159C" w:rsidRPr="007A6293" w:rsidRDefault="0008159C" w:rsidP="0008159C">
            <w:pPr>
              <w:pStyle w:val="TableText"/>
              <w:rPr>
                <w:b/>
                <w:bCs/>
              </w:rPr>
            </w:pPr>
            <w:r w:rsidRPr="007A6293">
              <w:rPr>
                <w:b/>
                <w:bCs/>
              </w:rPr>
              <w:t>Complies</w:t>
            </w:r>
          </w:p>
          <w:p w14:paraId="10E4CD0C" w14:textId="4E12ADB5" w:rsidR="0008159C" w:rsidRDefault="0008159C" w:rsidP="0008159C">
            <w:pPr>
              <w:pStyle w:val="TableText"/>
            </w:pPr>
            <w:r>
              <w:t xml:space="preserve">Floor plans include annotations for AS1242 (stairs and ramps) and AS1735 (lifts). </w:t>
            </w:r>
          </w:p>
        </w:tc>
      </w:tr>
      <w:tr w:rsidR="0008159C" w14:paraId="6BA7A99F" w14:textId="77777777" w:rsidTr="00FA4E31">
        <w:tc>
          <w:tcPr>
            <w:tcW w:w="4536" w:type="dxa"/>
            <w:shd w:val="clear" w:color="auto" w:fill="FFFFFF" w:themeFill="background1"/>
          </w:tcPr>
          <w:p w14:paraId="4A726348" w14:textId="244EF9B6" w:rsidR="0008159C" w:rsidRDefault="0008159C" w:rsidP="0008159C">
            <w:pPr>
              <w:pStyle w:val="TableText"/>
            </w:pPr>
            <w:r>
              <w:t>c) The development shall provide at least one main pedestrian entrance with convenient barrier free access to the ground floor and/or street level.</w:t>
            </w:r>
          </w:p>
        </w:tc>
        <w:tc>
          <w:tcPr>
            <w:tcW w:w="5103" w:type="dxa"/>
            <w:vMerge w:val="restart"/>
            <w:shd w:val="clear" w:color="auto" w:fill="FFFFFF" w:themeFill="background1"/>
          </w:tcPr>
          <w:p w14:paraId="3A92FAC2" w14:textId="77777777" w:rsidR="0008159C" w:rsidRDefault="0008159C" w:rsidP="0008159C">
            <w:pPr>
              <w:pStyle w:val="TableText"/>
            </w:pPr>
            <w:r>
              <w:t>Accessible pedestrian access to the forecourt an entry is provided from Crawford St.</w:t>
            </w:r>
          </w:p>
          <w:p w14:paraId="2157A38A" w14:textId="62465D53" w:rsidR="0008159C" w:rsidRDefault="0008159C" w:rsidP="0008159C">
            <w:pPr>
              <w:pStyle w:val="TableText"/>
            </w:pPr>
            <w:r>
              <w:t>Laneways promoting pedestrian access to the rear of the site and public plaza are also accessible from Crawford St.</w:t>
            </w:r>
          </w:p>
        </w:tc>
        <w:tc>
          <w:tcPr>
            <w:tcW w:w="4931" w:type="dxa"/>
            <w:vMerge w:val="restart"/>
            <w:shd w:val="clear" w:color="auto" w:fill="FFFFFF" w:themeFill="background1"/>
          </w:tcPr>
          <w:p w14:paraId="3A29AB91" w14:textId="43240184" w:rsidR="0008159C" w:rsidRPr="007A6293" w:rsidRDefault="0008159C" w:rsidP="0008159C">
            <w:pPr>
              <w:pStyle w:val="TableText"/>
              <w:rPr>
                <w:b/>
                <w:bCs/>
              </w:rPr>
            </w:pPr>
            <w:r w:rsidRPr="007A6293">
              <w:rPr>
                <w:b/>
                <w:bCs/>
              </w:rPr>
              <w:t>Complies</w:t>
            </w:r>
          </w:p>
        </w:tc>
      </w:tr>
      <w:tr w:rsidR="0008159C" w14:paraId="31CF0AAA" w14:textId="77777777" w:rsidTr="00FA4E31">
        <w:tc>
          <w:tcPr>
            <w:tcW w:w="4536" w:type="dxa"/>
            <w:shd w:val="clear" w:color="auto" w:fill="FFFFFF" w:themeFill="background1"/>
          </w:tcPr>
          <w:p w14:paraId="0195C08B" w14:textId="07E9504B" w:rsidR="0008159C" w:rsidRDefault="0008159C" w:rsidP="0008159C">
            <w:pPr>
              <w:pStyle w:val="TableText"/>
            </w:pPr>
            <w:r>
              <w:t>d) The development shall provide continuous access paths of travel from all public roads and spaces as well as unimpeded internal access.</w:t>
            </w:r>
          </w:p>
        </w:tc>
        <w:tc>
          <w:tcPr>
            <w:tcW w:w="5103" w:type="dxa"/>
            <w:vMerge/>
            <w:shd w:val="clear" w:color="auto" w:fill="FFFFFF" w:themeFill="background1"/>
          </w:tcPr>
          <w:p w14:paraId="690836F6" w14:textId="77777777" w:rsidR="0008159C" w:rsidRDefault="0008159C" w:rsidP="0008159C">
            <w:pPr>
              <w:pStyle w:val="TableText"/>
            </w:pPr>
          </w:p>
        </w:tc>
        <w:tc>
          <w:tcPr>
            <w:tcW w:w="4931" w:type="dxa"/>
            <w:vMerge/>
            <w:shd w:val="clear" w:color="auto" w:fill="FFFFFF" w:themeFill="background1"/>
          </w:tcPr>
          <w:p w14:paraId="7B316A7C" w14:textId="77777777" w:rsidR="0008159C" w:rsidRDefault="0008159C" w:rsidP="0008159C">
            <w:pPr>
              <w:pStyle w:val="TableText"/>
            </w:pPr>
          </w:p>
        </w:tc>
      </w:tr>
      <w:tr w:rsidR="0008159C" w14:paraId="7E26C977" w14:textId="77777777" w:rsidTr="00FA4E31">
        <w:tc>
          <w:tcPr>
            <w:tcW w:w="4536" w:type="dxa"/>
            <w:shd w:val="clear" w:color="auto" w:fill="FFFFFF" w:themeFill="background1"/>
          </w:tcPr>
          <w:p w14:paraId="4E85C3E6" w14:textId="73BAFDEF" w:rsidR="0008159C" w:rsidRDefault="0008159C" w:rsidP="0008159C">
            <w:pPr>
              <w:pStyle w:val="TableText"/>
            </w:pPr>
            <w:r>
              <w:t>e) The development shall provide visually distinctive accessible internal access linking to building entry points and the public domain.</w:t>
            </w:r>
          </w:p>
        </w:tc>
        <w:tc>
          <w:tcPr>
            <w:tcW w:w="5103" w:type="dxa"/>
            <w:vMerge/>
            <w:shd w:val="clear" w:color="auto" w:fill="FFFFFF" w:themeFill="background1"/>
          </w:tcPr>
          <w:p w14:paraId="7CB93E1F" w14:textId="77777777" w:rsidR="0008159C" w:rsidRDefault="0008159C" w:rsidP="0008159C">
            <w:pPr>
              <w:pStyle w:val="TableText"/>
            </w:pPr>
          </w:p>
        </w:tc>
        <w:tc>
          <w:tcPr>
            <w:tcW w:w="4931" w:type="dxa"/>
            <w:vMerge/>
            <w:shd w:val="clear" w:color="auto" w:fill="FFFFFF" w:themeFill="background1"/>
          </w:tcPr>
          <w:p w14:paraId="699116DB" w14:textId="77777777" w:rsidR="0008159C" w:rsidRDefault="0008159C" w:rsidP="0008159C">
            <w:pPr>
              <w:pStyle w:val="TableText"/>
            </w:pPr>
          </w:p>
        </w:tc>
      </w:tr>
      <w:tr w:rsidR="0008159C" w14:paraId="27AA9791" w14:textId="77777777" w:rsidTr="00FA4E31">
        <w:tc>
          <w:tcPr>
            <w:tcW w:w="4536" w:type="dxa"/>
            <w:shd w:val="clear" w:color="auto" w:fill="FFFFFF" w:themeFill="background1"/>
          </w:tcPr>
          <w:p w14:paraId="0D418AB0" w14:textId="3C3731C4" w:rsidR="0008159C" w:rsidRDefault="0008159C" w:rsidP="0008159C">
            <w:pPr>
              <w:pStyle w:val="TableText"/>
            </w:pPr>
            <w:r>
              <w:t>f) Pedestrian access ways, entry paths and lobbies shall use durable materials commensurate with the standard of the adjoining public domain (street) with appropriate slip resistant materials, tactile surfaces and contrasting colours.</w:t>
            </w:r>
          </w:p>
        </w:tc>
        <w:tc>
          <w:tcPr>
            <w:tcW w:w="5103" w:type="dxa"/>
            <w:shd w:val="clear" w:color="auto" w:fill="FFFFFF" w:themeFill="background1"/>
          </w:tcPr>
          <w:p w14:paraId="26722CE0" w14:textId="3A102D0A" w:rsidR="0008159C" w:rsidRDefault="0008159C" w:rsidP="0008159C">
            <w:pPr>
              <w:pStyle w:val="TableText"/>
            </w:pPr>
            <w:r>
              <w:t xml:space="preserve">Materials used in the forecourt/entry and laneways promote pedestrian safety; are durable; and, are considered complimentary t the existing streetscape and surrounding heritage items. </w:t>
            </w:r>
          </w:p>
        </w:tc>
        <w:tc>
          <w:tcPr>
            <w:tcW w:w="4931" w:type="dxa"/>
            <w:shd w:val="clear" w:color="auto" w:fill="FFFFFF" w:themeFill="background1"/>
          </w:tcPr>
          <w:p w14:paraId="053043ED" w14:textId="7850C142" w:rsidR="0008159C" w:rsidRPr="007A6293" w:rsidRDefault="0008159C" w:rsidP="0008159C">
            <w:pPr>
              <w:pStyle w:val="TableText"/>
              <w:rPr>
                <w:b/>
                <w:bCs/>
              </w:rPr>
            </w:pPr>
            <w:r w:rsidRPr="007A6293">
              <w:rPr>
                <w:b/>
                <w:bCs/>
              </w:rPr>
              <w:t>Complies</w:t>
            </w:r>
          </w:p>
        </w:tc>
      </w:tr>
      <w:tr w:rsidR="0008159C" w14:paraId="40C64B3D" w14:textId="77777777" w:rsidTr="006211B5">
        <w:tc>
          <w:tcPr>
            <w:tcW w:w="4536" w:type="dxa"/>
            <w:tcBorders>
              <w:bottom w:val="single" w:sz="4" w:space="0" w:color="4E4E50" w:themeColor="accent2"/>
            </w:tcBorders>
            <w:shd w:val="clear" w:color="auto" w:fill="FFFFFF" w:themeFill="background1"/>
          </w:tcPr>
          <w:p w14:paraId="2134CDFE" w14:textId="334AA640" w:rsidR="0008159C" w:rsidRDefault="0008159C" w:rsidP="0008159C">
            <w:pPr>
              <w:pStyle w:val="TableText"/>
            </w:pPr>
            <w:r>
              <w:t>g) Any new development providing basement car parks shall make provision for access for persons with a disability.</w:t>
            </w:r>
          </w:p>
        </w:tc>
        <w:tc>
          <w:tcPr>
            <w:tcW w:w="5103" w:type="dxa"/>
            <w:tcBorders>
              <w:bottom w:val="single" w:sz="4" w:space="0" w:color="4E4E50" w:themeColor="accent2"/>
            </w:tcBorders>
            <w:shd w:val="clear" w:color="auto" w:fill="FFFFFF" w:themeFill="background1"/>
          </w:tcPr>
          <w:p w14:paraId="01CF43DF" w14:textId="449DF63C" w:rsidR="0008159C" w:rsidRDefault="0008159C" w:rsidP="0008159C">
            <w:pPr>
              <w:pStyle w:val="TableText"/>
            </w:pPr>
            <w:r>
              <w:t xml:space="preserve">Access from basement car parking facilities is designed in line with the relevant Australian standards. </w:t>
            </w:r>
          </w:p>
        </w:tc>
        <w:tc>
          <w:tcPr>
            <w:tcW w:w="4931" w:type="dxa"/>
            <w:tcBorders>
              <w:bottom w:val="single" w:sz="4" w:space="0" w:color="4E4E50" w:themeColor="accent2"/>
            </w:tcBorders>
            <w:shd w:val="clear" w:color="auto" w:fill="FFFFFF" w:themeFill="background1"/>
          </w:tcPr>
          <w:p w14:paraId="076B7724" w14:textId="396F1876" w:rsidR="0008159C" w:rsidRPr="007A6293" w:rsidRDefault="0008159C" w:rsidP="0008159C">
            <w:pPr>
              <w:pStyle w:val="TableText"/>
              <w:rPr>
                <w:b/>
                <w:bCs/>
              </w:rPr>
            </w:pPr>
            <w:r w:rsidRPr="007A6293">
              <w:rPr>
                <w:b/>
                <w:bCs/>
              </w:rPr>
              <w:t>Complies</w:t>
            </w:r>
          </w:p>
        </w:tc>
      </w:tr>
      <w:tr w:rsidR="0008159C" w14:paraId="26911DA4" w14:textId="77777777" w:rsidTr="006211B5">
        <w:tc>
          <w:tcPr>
            <w:tcW w:w="4536" w:type="dxa"/>
            <w:shd w:val="clear" w:color="auto" w:fill="B7B7B9" w:themeFill="accent2" w:themeFillTint="66"/>
          </w:tcPr>
          <w:p w14:paraId="719F822E" w14:textId="6D090BC3" w:rsidR="0008159C" w:rsidRPr="006211B5" w:rsidRDefault="0008159C" w:rsidP="0008159C">
            <w:pPr>
              <w:pStyle w:val="TableText"/>
              <w:rPr>
                <w:b/>
                <w:bCs/>
              </w:rPr>
            </w:pPr>
            <w:r w:rsidRPr="006211B5">
              <w:rPr>
                <w:b/>
                <w:bCs/>
              </w:rPr>
              <w:t>6.3.5 Site Facilities and Services</w:t>
            </w:r>
          </w:p>
        </w:tc>
        <w:tc>
          <w:tcPr>
            <w:tcW w:w="5103" w:type="dxa"/>
            <w:shd w:val="clear" w:color="auto" w:fill="B7B7B9" w:themeFill="accent2" w:themeFillTint="66"/>
          </w:tcPr>
          <w:p w14:paraId="0F522223" w14:textId="77777777" w:rsidR="0008159C" w:rsidRDefault="0008159C" w:rsidP="0008159C">
            <w:pPr>
              <w:pStyle w:val="TableText"/>
            </w:pPr>
          </w:p>
        </w:tc>
        <w:tc>
          <w:tcPr>
            <w:tcW w:w="4931" w:type="dxa"/>
            <w:shd w:val="clear" w:color="auto" w:fill="B7B7B9" w:themeFill="accent2" w:themeFillTint="66"/>
          </w:tcPr>
          <w:p w14:paraId="5CF46344" w14:textId="77777777" w:rsidR="0008159C" w:rsidRDefault="0008159C" w:rsidP="0008159C">
            <w:pPr>
              <w:pStyle w:val="TableText"/>
            </w:pPr>
          </w:p>
        </w:tc>
      </w:tr>
      <w:tr w:rsidR="0008159C" w14:paraId="2554DE81" w14:textId="77777777" w:rsidTr="00FA4E31">
        <w:tc>
          <w:tcPr>
            <w:tcW w:w="4536" w:type="dxa"/>
            <w:shd w:val="clear" w:color="auto" w:fill="FFFFFF" w:themeFill="background1"/>
          </w:tcPr>
          <w:p w14:paraId="4B10484D" w14:textId="1C5E3D4C" w:rsidR="0008159C" w:rsidRDefault="0008159C" w:rsidP="0008159C">
            <w:pPr>
              <w:pStyle w:val="TableText"/>
              <w:numPr>
                <w:ilvl w:val="0"/>
                <w:numId w:val="69"/>
              </w:numPr>
            </w:pPr>
          </w:p>
        </w:tc>
        <w:tc>
          <w:tcPr>
            <w:tcW w:w="5103" w:type="dxa"/>
            <w:shd w:val="clear" w:color="auto" w:fill="FFFFFF" w:themeFill="background1"/>
          </w:tcPr>
          <w:p w14:paraId="4AB29481" w14:textId="77777777" w:rsidR="0008159C" w:rsidRDefault="0008159C" w:rsidP="0008159C">
            <w:pPr>
              <w:pStyle w:val="TableText"/>
            </w:pPr>
          </w:p>
        </w:tc>
        <w:tc>
          <w:tcPr>
            <w:tcW w:w="4931" w:type="dxa"/>
            <w:shd w:val="clear" w:color="auto" w:fill="FFFFFF" w:themeFill="background1"/>
          </w:tcPr>
          <w:p w14:paraId="3FF7ED3C" w14:textId="66625D9B" w:rsidR="0008159C" w:rsidRPr="007A6293" w:rsidRDefault="0008159C" w:rsidP="0008159C">
            <w:pPr>
              <w:pStyle w:val="TableText"/>
              <w:rPr>
                <w:b/>
                <w:bCs/>
              </w:rPr>
            </w:pPr>
          </w:p>
        </w:tc>
      </w:tr>
      <w:tr w:rsidR="0008159C" w14:paraId="17D8C064" w14:textId="77777777" w:rsidTr="00FA4E31">
        <w:tc>
          <w:tcPr>
            <w:tcW w:w="4536" w:type="dxa"/>
            <w:shd w:val="clear" w:color="auto" w:fill="FFFFFF" w:themeFill="background1"/>
          </w:tcPr>
          <w:p w14:paraId="195F1168" w14:textId="77777777" w:rsidR="0008159C" w:rsidRDefault="0008159C" w:rsidP="0008159C">
            <w:pPr>
              <w:pStyle w:val="TableText"/>
            </w:pPr>
            <w:r>
              <w:t xml:space="preserve">b) Communication structures, air conditioners and service vents </w:t>
            </w:r>
          </w:p>
          <w:p w14:paraId="70AF7BCB" w14:textId="098A3ADB" w:rsidR="0008159C" w:rsidRDefault="0008159C" w:rsidP="0008159C">
            <w:pPr>
              <w:pStyle w:val="TableText"/>
              <w:numPr>
                <w:ilvl w:val="0"/>
                <w:numId w:val="70"/>
              </w:numPr>
            </w:pPr>
            <w:r>
              <w:t xml:space="preserve">Locate satellite dish and telecommunication antennae, air conditioning units, ventilation stacks and any ancillary structures to be: </w:t>
            </w:r>
          </w:p>
          <w:p w14:paraId="370B3E10" w14:textId="77777777" w:rsidR="0008159C" w:rsidRDefault="0008159C" w:rsidP="0008159C">
            <w:pPr>
              <w:pStyle w:val="TableText"/>
              <w:ind w:left="1440"/>
            </w:pPr>
            <w:r>
              <w:sym w:font="Symbol" w:char="F0B7"/>
            </w:r>
            <w:r>
              <w:t xml:space="preserve"> Away from the street frontage; </w:t>
            </w:r>
          </w:p>
          <w:p w14:paraId="76B52B17" w14:textId="77777777" w:rsidR="0008159C" w:rsidRDefault="0008159C" w:rsidP="0008159C">
            <w:pPr>
              <w:pStyle w:val="TableText"/>
              <w:ind w:left="1440"/>
            </w:pPr>
            <w:r>
              <w:sym w:font="Symbol" w:char="F0B7"/>
            </w:r>
            <w:r>
              <w:t xml:space="preserve"> Integrated into the roofscape design and in a position where such facilities will not become a skyline feature at the top of any building; and </w:t>
            </w:r>
          </w:p>
          <w:p w14:paraId="6B2ACAF0" w14:textId="77777777" w:rsidR="0008159C" w:rsidRDefault="0008159C" w:rsidP="0008159C">
            <w:pPr>
              <w:pStyle w:val="TableText"/>
              <w:ind w:left="1440"/>
            </w:pPr>
            <w:r>
              <w:sym w:font="Symbol" w:char="F0B7"/>
            </w:r>
            <w:r>
              <w:t xml:space="preserve"> Adequately setback from the perimeter wall or roof edge of buildings. Queanbeyan Development Control Plan 2012 Part 6 31 </w:t>
            </w:r>
          </w:p>
          <w:p w14:paraId="3152C17A" w14:textId="6C86F8AA" w:rsidR="0008159C" w:rsidRDefault="0008159C" w:rsidP="0008159C">
            <w:pPr>
              <w:pStyle w:val="TableText"/>
              <w:numPr>
                <w:ilvl w:val="0"/>
                <w:numId w:val="70"/>
              </w:numPr>
            </w:pPr>
            <w:r>
              <w:t xml:space="preserve">A master antenna/satellite dish shall be provided for residential apartment buildings. This antenna shall be sited to </w:t>
            </w:r>
            <w:r>
              <w:lastRenderedPageBreak/>
              <w:t>minimise its visibility from surrounding public areas.</w:t>
            </w:r>
          </w:p>
        </w:tc>
        <w:tc>
          <w:tcPr>
            <w:tcW w:w="5103" w:type="dxa"/>
            <w:shd w:val="clear" w:color="auto" w:fill="FFFFFF" w:themeFill="background1"/>
          </w:tcPr>
          <w:p w14:paraId="4ED5308C" w14:textId="7A59F8DA" w:rsidR="0008159C" w:rsidRDefault="0008159C" w:rsidP="0008159C">
            <w:pPr>
              <w:pStyle w:val="TableText"/>
            </w:pPr>
            <w:r>
              <w:lastRenderedPageBreak/>
              <w:t>Service related infrastructure is setback and integrated into the roof form.</w:t>
            </w:r>
          </w:p>
        </w:tc>
        <w:tc>
          <w:tcPr>
            <w:tcW w:w="4931" w:type="dxa"/>
            <w:shd w:val="clear" w:color="auto" w:fill="FFFFFF" w:themeFill="background1"/>
          </w:tcPr>
          <w:p w14:paraId="65E5BB34" w14:textId="77777777" w:rsidR="0008159C" w:rsidRDefault="0008159C" w:rsidP="0008159C">
            <w:pPr>
              <w:pStyle w:val="TableText"/>
              <w:rPr>
                <w:b/>
                <w:bCs/>
              </w:rPr>
            </w:pPr>
            <w:r w:rsidRPr="007A6293">
              <w:rPr>
                <w:b/>
                <w:bCs/>
              </w:rPr>
              <w:t>Complies</w:t>
            </w:r>
          </w:p>
          <w:p w14:paraId="63B452C8" w14:textId="57CBF7E1" w:rsidR="007971B6" w:rsidRPr="007A6293" w:rsidRDefault="007971B6" w:rsidP="0008159C">
            <w:pPr>
              <w:pStyle w:val="TableText"/>
              <w:rPr>
                <w:b/>
                <w:bCs/>
              </w:rPr>
            </w:pPr>
            <w:r>
              <w:t>Communications structures, air conditioners and service vents, all building plant and equipment is located in a rooftop plant room which has been integrated into the built form and incorporates visually interesting features so as not to detract from the façade.</w:t>
            </w:r>
          </w:p>
        </w:tc>
      </w:tr>
      <w:tr w:rsidR="0008159C" w14:paraId="2FD4C2FE" w14:textId="77777777" w:rsidTr="00FA4E31">
        <w:tc>
          <w:tcPr>
            <w:tcW w:w="4536" w:type="dxa"/>
            <w:shd w:val="clear" w:color="auto" w:fill="FFFFFF" w:themeFill="background1"/>
          </w:tcPr>
          <w:p w14:paraId="4945F692" w14:textId="77777777" w:rsidR="0008159C" w:rsidRDefault="0008159C" w:rsidP="0008159C">
            <w:pPr>
              <w:pStyle w:val="TableText"/>
            </w:pPr>
            <w:r>
              <w:t>c) Waste and Recycling Storage and Collection General (all development)</w:t>
            </w:r>
          </w:p>
          <w:p w14:paraId="28EA8357" w14:textId="77777777" w:rsidR="0008159C" w:rsidRDefault="0008159C" w:rsidP="0008159C">
            <w:pPr>
              <w:pStyle w:val="TableText"/>
              <w:numPr>
                <w:ilvl w:val="0"/>
                <w:numId w:val="71"/>
              </w:numPr>
            </w:pPr>
            <w:r>
              <w:t>All development is to adequately accommodate waste handling and storage on site. The size, location and handling procedures for all waste, including recyclables, is to be determined by advice from Council.</w:t>
            </w:r>
          </w:p>
          <w:p w14:paraId="66186BC0" w14:textId="77777777" w:rsidR="0008159C" w:rsidRDefault="0008159C" w:rsidP="0008159C">
            <w:pPr>
              <w:pStyle w:val="TableText"/>
              <w:numPr>
                <w:ilvl w:val="0"/>
                <w:numId w:val="71"/>
              </w:numPr>
            </w:pPr>
            <w:r>
              <w:t>Waste storage areas are to be designed to:</w:t>
            </w:r>
          </w:p>
          <w:p w14:paraId="0C5A669C" w14:textId="77777777" w:rsidR="0008159C" w:rsidRDefault="0008159C" w:rsidP="0008159C">
            <w:pPr>
              <w:pStyle w:val="TableText"/>
              <w:numPr>
                <w:ilvl w:val="1"/>
                <w:numId w:val="71"/>
              </w:numPr>
            </w:pPr>
            <w:r>
              <w:t>Ensure adequate driveway access and manoeuvrability for any required service vehicles;</w:t>
            </w:r>
          </w:p>
          <w:p w14:paraId="19C35ECF" w14:textId="77777777" w:rsidR="0008159C" w:rsidRDefault="0008159C" w:rsidP="0008159C">
            <w:pPr>
              <w:pStyle w:val="TableText"/>
              <w:numPr>
                <w:ilvl w:val="1"/>
                <w:numId w:val="71"/>
              </w:numPr>
            </w:pPr>
            <w:r>
              <w:t>Located so as not to create any adverse noise impacts on the existing developments or sensitive noise receptors such as habitable rooms of residential developments; and</w:t>
            </w:r>
          </w:p>
          <w:p w14:paraId="35C44A2E" w14:textId="77777777" w:rsidR="0008159C" w:rsidRDefault="0008159C" w:rsidP="0008159C">
            <w:pPr>
              <w:pStyle w:val="TableText"/>
              <w:numPr>
                <w:ilvl w:val="1"/>
                <w:numId w:val="71"/>
              </w:numPr>
            </w:pPr>
            <w:r>
              <w:t>Screened from the public way and adjacent development that may overlook the area.</w:t>
            </w:r>
          </w:p>
          <w:p w14:paraId="5D762521" w14:textId="2F5FDEFD" w:rsidR="0008159C" w:rsidRDefault="0008159C" w:rsidP="0008159C">
            <w:pPr>
              <w:pStyle w:val="TableText"/>
              <w:numPr>
                <w:ilvl w:val="0"/>
                <w:numId w:val="70"/>
              </w:numPr>
            </w:pPr>
            <w:r>
              <w:t>The storage facility must be well lit, easily accessible on grade for movement of bins, free of obstructions that may restrict movement and servicing bins or containers and designed to minimise noise impacts.</w:t>
            </w:r>
          </w:p>
        </w:tc>
        <w:tc>
          <w:tcPr>
            <w:tcW w:w="5103" w:type="dxa"/>
            <w:shd w:val="clear" w:color="auto" w:fill="FFFFFF" w:themeFill="background1"/>
          </w:tcPr>
          <w:p w14:paraId="1FD6A88B" w14:textId="77777777" w:rsidR="0008159C" w:rsidRDefault="0008159C" w:rsidP="0008159C">
            <w:pPr>
              <w:pStyle w:val="TableText"/>
            </w:pPr>
            <w:r>
              <w:t>A waste room provides sufficient room to accommodate office waste from both public administration uses. Services area on ground floor is accessible from laneway and is sufficient to allow an MRV waste collection vehicle to enter and exist in a forward direction.</w:t>
            </w:r>
          </w:p>
          <w:p w14:paraId="187B4AC4" w14:textId="49D382E2" w:rsidR="0008159C" w:rsidRDefault="0008159C" w:rsidP="0008159C">
            <w:pPr>
              <w:pStyle w:val="TableText"/>
            </w:pPr>
            <w:r>
              <w:t>Refer to full waste management plan (operational) at Appendix K.</w:t>
            </w:r>
          </w:p>
        </w:tc>
        <w:tc>
          <w:tcPr>
            <w:tcW w:w="4931" w:type="dxa"/>
            <w:shd w:val="clear" w:color="auto" w:fill="FFFFFF" w:themeFill="background1"/>
          </w:tcPr>
          <w:p w14:paraId="04EE640E" w14:textId="77777777" w:rsidR="0008159C" w:rsidRPr="007A6293" w:rsidRDefault="0008159C" w:rsidP="0008159C">
            <w:pPr>
              <w:pStyle w:val="TableText"/>
              <w:rPr>
                <w:b/>
                <w:bCs/>
              </w:rPr>
            </w:pPr>
            <w:r w:rsidRPr="007A6293">
              <w:rPr>
                <w:b/>
                <w:bCs/>
              </w:rPr>
              <w:t xml:space="preserve">Complies </w:t>
            </w:r>
          </w:p>
          <w:p w14:paraId="4CF00AA2" w14:textId="2E87BC61" w:rsidR="0008159C" w:rsidRDefault="007971B6" w:rsidP="0008159C">
            <w:pPr>
              <w:pStyle w:val="TableText"/>
            </w:pPr>
            <w:r>
              <w:t xml:space="preserve">The proposal, including the provision of further information, has demonstrated adequate access and manoeuvrability for a garbage truck (HRV 12.5m) through the associated service lane. </w:t>
            </w:r>
          </w:p>
        </w:tc>
      </w:tr>
      <w:tr w:rsidR="0008159C" w14:paraId="4C37789E" w14:textId="77777777" w:rsidTr="00FA4E31">
        <w:tc>
          <w:tcPr>
            <w:tcW w:w="4536" w:type="dxa"/>
            <w:shd w:val="clear" w:color="auto" w:fill="FFFFFF" w:themeFill="background1"/>
          </w:tcPr>
          <w:p w14:paraId="71DF70CE" w14:textId="77777777" w:rsidR="0008159C" w:rsidRDefault="0008159C" w:rsidP="0008159C">
            <w:pPr>
              <w:pStyle w:val="TableText"/>
            </w:pPr>
            <w:r>
              <w:t>d) Location requirements for Waste Storage Areas and Access</w:t>
            </w:r>
          </w:p>
          <w:p w14:paraId="14F14389" w14:textId="77777777" w:rsidR="0008159C" w:rsidRDefault="0008159C" w:rsidP="0008159C">
            <w:pPr>
              <w:pStyle w:val="TableText"/>
            </w:pPr>
            <w:r>
              <w:lastRenderedPageBreak/>
              <w:t>i) Where waste volumes require a common collection, storage and handling area, this is to be located:</w:t>
            </w:r>
          </w:p>
          <w:p w14:paraId="38EF77C0" w14:textId="77777777" w:rsidR="0008159C" w:rsidRDefault="0008159C" w:rsidP="0008159C">
            <w:pPr>
              <w:pStyle w:val="TableText"/>
              <w:numPr>
                <w:ilvl w:val="0"/>
                <w:numId w:val="72"/>
              </w:numPr>
            </w:pPr>
            <w:r>
              <w:t>For commercial, retail and other development, on site in basements or at ground within discrete service areas not visible from main street frontages;</w:t>
            </w:r>
          </w:p>
          <w:p w14:paraId="32065058" w14:textId="77777777" w:rsidR="0008159C" w:rsidRDefault="0008159C" w:rsidP="0008159C">
            <w:pPr>
              <w:pStyle w:val="TableText"/>
              <w:numPr>
                <w:ilvl w:val="0"/>
                <w:numId w:val="72"/>
              </w:numPr>
            </w:pPr>
            <w:r>
              <w:t>Where above ground garbage collection is prohibitive or impractical due to limited street frontage, or would create an unsafe environment, an on-site basement storage area must be provided; and</w:t>
            </w:r>
          </w:p>
          <w:p w14:paraId="086300A9" w14:textId="5256A773" w:rsidR="0008159C" w:rsidRDefault="0008159C" w:rsidP="0008159C">
            <w:pPr>
              <w:pStyle w:val="TableText"/>
              <w:numPr>
                <w:ilvl w:val="0"/>
                <w:numId w:val="72"/>
              </w:numPr>
            </w:pPr>
            <w:r>
              <w:t xml:space="preserve">Where a waste vehicle is required to enter the site, the access and circulation area shall be designed to accommodate a vehicle with the following dimensions: </w:t>
            </w:r>
          </w:p>
          <w:p w14:paraId="28A9C6B4" w14:textId="2E74ABF8" w:rsidR="0008159C" w:rsidRDefault="0008159C" w:rsidP="0008159C">
            <w:pPr>
              <w:pStyle w:val="TableText"/>
              <w:numPr>
                <w:ilvl w:val="2"/>
                <w:numId w:val="71"/>
              </w:numPr>
            </w:pPr>
            <w:r>
              <w:t xml:space="preserve">Vehicle height 4 metres </w:t>
            </w:r>
          </w:p>
          <w:p w14:paraId="4CF609FB" w14:textId="711BCB64" w:rsidR="0008159C" w:rsidRDefault="0008159C" w:rsidP="0008159C">
            <w:pPr>
              <w:pStyle w:val="TableText"/>
              <w:numPr>
                <w:ilvl w:val="2"/>
                <w:numId w:val="71"/>
              </w:numPr>
            </w:pPr>
            <w:r>
              <w:t>Vehicle length 10 metres</w:t>
            </w:r>
          </w:p>
          <w:p w14:paraId="5F3A5309" w14:textId="77777777" w:rsidR="0008159C" w:rsidRDefault="0008159C" w:rsidP="0008159C">
            <w:pPr>
              <w:pStyle w:val="TableText"/>
              <w:numPr>
                <w:ilvl w:val="2"/>
                <w:numId w:val="71"/>
              </w:numPr>
            </w:pPr>
            <w:r>
              <w:t xml:space="preserve">Ramp width 4 metres </w:t>
            </w:r>
          </w:p>
          <w:p w14:paraId="5010C57A" w14:textId="77777777" w:rsidR="0008159C" w:rsidRDefault="0008159C" w:rsidP="0008159C">
            <w:pPr>
              <w:pStyle w:val="TableText"/>
              <w:numPr>
                <w:ilvl w:val="2"/>
                <w:numId w:val="71"/>
              </w:numPr>
            </w:pPr>
            <w:r>
              <w:t xml:space="preserve">Turning circle AUSTROADS template for HRV R=12.5m, Speed=5kph </w:t>
            </w:r>
          </w:p>
          <w:p w14:paraId="287FD5AE" w14:textId="5B907621" w:rsidR="0008159C" w:rsidRDefault="0008159C" w:rsidP="0008159C">
            <w:pPr>
              <w:pStyle w:val="TableText"/>
              <w:numPr>
                <w:ilvl w:val="2"/>
                <w:numId w:val="71"/>
              </w:numPr>
            </w:pPr>
            <w:r>
              <w:t>Axle height 9 tonne/axle</w:t>
            </w:r>
          </w:p>
        </w:tc>
        <w:tc>
          <w:tcPr>
            <w:tcW w:w="5103" w:type="dxa"/>
            <w:shd w:val="clear" w:color="auto" w:fill="FFFFFF" w:themeFill="background1"/>
          </w:tcPr>
          <w:p w14:paraId="4B353A7E" w14:textId="77777777" w:rsidR="0008159C" w:rsidRDefault="0008159C" w:rsidP="0008159C">
            <w:pPr>
              <w:pStyle w:val="TableText"/>
            </w:pPr>
          </w:p>
        </w:tc>
        <w:tc>
          <w:tcPr>
            <w:tcW w:w="4931" w:type="dxa"/>
            <w:shd w:val="clear" w:color="auto" w:fill="FFFFFF" w:themeFill="background1"/>
          </w:tcPr>
          <w:p w14:paraId="78214C3B" w14:textId="2C2E0897" w:rsidR="0008159C" w:rsidRPr="008C000A" w:rsidRDefault="007971B6" w:rsidP="0008159C">
            <w:pPr>
              <w:pStyle w:val="TableText"/>
              <w:rPr>
                <w:b/>
                <w:bCs/>
              </w:rPr>
            </w:pPr>
            <w:r>
              <w:rPr>
                <w:b/>
                <w:bCs/>
              </w:rPr>
              <w:t xml:space="preserve">Complies </w:t>
            </w:r>
          </w:p>
          <w:p w14:paraId="07C59BEC" w14:textId="77777777" w:rsidR="00A90B04" w:rsidRDefault="00A90B04" w:rsidP="00A90B04">
            <w:pPr>
              <w:pStyle w:val="TableText"/>
            </w:pPr>
            <w:r>
              <w:t xml:space="preserve">A waste storage area is located on the southern side of the building, accessed via the service lane from </w:t>
            </w:r>
            <w:r>
              <w:lastRenderedPageBreak/>
              <w:t xml:space="preserve">Crawford Street. This location ensures it is out of site when viewed from Crawford Street. </w:t>
            </w:r>
          </w:p>
          <w:p w14:paraId="4289B390" w14:textId="77777777" w:rsidR="00A90B04" w:rsidRDefault="00A90B04" w:rsidP="00A90B04">
            <w:pPr>
              <w:pStyle w:val="TableText"/>
            </w:pPr>
            <w:r>
              <w:t>It is at grade with the service lane.</w:t>
            </w:r>
          </w:p>
          <w:p w14:paraId="5411DC26" w14:textId="65030C82" w:rsidR="00A90B04" w:rsidRPr="00A90B04" w:rsidRDefault="00A90B04" w:rsidP="00A90B04">
            <w:pPr>
              <w:pStyle w:val="TableText"/>
            </w:pPr>
            <w:r>
              <w:t>There is adequate access and manoeuvrability for a garbage truck (HRV 12.5m) through the associated service lane.</w:t>
            </w:r>
          </w:p>
        </w:tc>
      </w:tr>
    </w:tbl>
    <w:p w14:paraId="537CF8D2" w14:textId="77777777" w:rsidR="00EF3734" w:rsidRPr="009055A4" w:rsidRDefault="00EF3734" w:rsidP="009055A4"/>
    <w:sectPr w:rsidR="00EF3734" w:rsidRPr="009055A4" w:rsidSect="00F35FE2">
      <w:footerReference w:type="default" r:id="rId10"/>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CB22" w14:textId="77777777" w:rsidR="00D56210" w:rsidRDefault="00D56210" w:rsidP="00185154">
      <w:r>
        <w:separator/>
      </w:r>
    </w:p>
    <w:p w14:paraId="65229504" w14:textId="77777777" w:rsidR="00D56210" w:rsidRDefault="00D56210"/>
  </w:endnote>
  <w:endnote w:type="continuationSeparator" w:id="0">
    <w:p w14:paraId="0C065276" w14:textId="77777777" w:rsidR="00D56210" w:rsidRDefault="00D56210" w:rsidP="00185154">
      <w:r>
        <w:continuationSeparator/>
      </w:r>
    </w:p>
    <w:p w14:paraId="69962D64" w14:textId="77777777" w:rsidR="00D56210" w:rsidRDefault="00D5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441112"/>
      <w:docPartObj>
        <w:docPartGallery w:val="Page Numbers (Bottom of Page)"/>
        <w:docPartUnique/>
      </w:docPartObj>
    </w:sdtPr>
    <w:sdtEndPr>
      <w:rPr>
        <w:color w:val="7F7F7F" w:themeColor="background1" w:themeShade="7F"/>
        <w:spacing w:val="60"/>
      </w:rPr>
    </w:sdtEndPr>
    <w:sdtContent>
      <w:p w14:paraId="3C945337" w14:textId="4A0EC8C2" w:rsidR="00D56210" w:rsidRDefault="00D5621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762B">
          <w:rPr>
            <w:noProof/>
          </w:rPr>
          <w:t>4</w:t>
        </w:r>
        <w:r>
          <w:rPr>
            <w:noProof/>
          </w:rPr>
          <w:fldChar w:fldCharType="end"/>
        </w:r>
        <w:r>
          <w:t xml:space="preserve"> | </w:t>
        </w:r>
        <w:r>
          <w:rPr>
            <w:color w:val="7F7F7F" w:themeColor="background1" w:themeShade="7F"/>
            <w:spacing w:val="60"/>
          </w:rPr>
          <w:t>Page</w:t>
        </w:r>
      </w:p>
    </w:sdtContent>
  </w:sdt>
  <w:p w14:paraId="214949B0" w14:textId="77777777" w:rsidR="00D56210" w:rsidRDefault="00D5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F4DD" w14:textId="77777777" w:rsidR="00D56210" w:rsidRDefault="00D56210" w:rsidP="00185154">
      <w:r>
        <w:separator/>
      </w:r>
    </w:p>
    <w:p w14:paraId="562B83B2" w14:textId="77777777" w:rsidR="00D56210" w:rsidRDefault="00D56210"/>
  </w:footnote>
  <w:footnote w:type="continuationSeparator" w:id="0">
    <w:p w14:paraId="5E8AE9A4" w14:textId="77777777" w:rsidR="00D56210" w:rsidRDefault="00D56210" w:rsidP="00185154">
      <w:r>
        <w:continuationSeparator/>
      </w:r>
    </w:p>
    <w:p w14:paraId="12322620" w14:textId="77777777" w:rsidR="00D56210" w:rsidRDefault="00D56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11D"/>
    <w:multiLevelType w:val="multilevel"/>
    <w:tmpl w:val="4EBE366C"/>
    <w:styleLink w:val="ListBreakOut"/>
    <w:lvl w:ilvl="0">
      <w:start w:val="1"/>
      <w:numFmt w:val="bullet"/>
      <w:pStyle w:val="BreakOutBullets"/>
      <w:lvlText w:val="»"/>
      <w:lvlJc w:val="left"/>
      <w:pPr>
        <w:tabs>
          <w:tab w:val="num" w:pos="284"/>
        </w:tabs>
        <w:ind w:left="284" w:hanging="284"/>
      </w:pPr>
      <w:rPr>
        <w:rFonts w:ascii="Tahoma" w:hAnsi="Tahoma" w:hint="default"/>
        <w:caps w:val="0"/>
        <w:strike w:val="0"/>
        <w:dstrike w:val="0"/>
        <w:vanish w:val="0"/>
        <w:color w:val="FFFFFF" w:themeColor="background1"/>
        <w:vertAlign w:val="baseline"/>
      </w:rPr>
    </w:lvl>
    <w:lvl w:ilvl="1">
      <w:start w:val="1"/>
      <w:numFmt w:val="bullet"/>
      <w:pStyle w:val="BreakOutBullets2"/>
      <w:lvlText w:val="&gt;"/>
      <w:lvlJc w:val="left"/>
      <w:pPr>
        <w:tabs>
          <w:tab w:val="num" w:pos="567"/>
        </w:tabs>
        <w:ind w:left="567" w:hanging="283"/>
      </w:pPr>
      <w:rPr>
        <w:rFonts w:ascii="Tahoma" w:hAnsi="Tahoma" w:hint="default"/>
        <w:caps w:val="0"/>
        <w:strike w:val="0"/>
        <w:dstrike w:val="0"/>
        <w:vanish w:val="0"/>
        <w:color w:val="FFFFFF" w:themeColor="background1"/>
        <w:vertAlign w:val="baseline"/>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1FB28C5"/>
    <w:multiLevelType w:val="multilevel"/>
    <w:tmpl w:val="64A2045C"/>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6B87401"/>
    <w:multiLevelType w:val="hybridMultilevel"/>
    <w:tmpl w:val="4D425CC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7284AE9"/>
    <w:multiLevelType w:val="multilevel"/>
    <w:tmpl w:val="4F642FBC"/>
    <w:styleLink w:val="ListAlpha"/>
    <w:lvl w:ilvl="0">
      <w:start w:val="1"/>
      <w:numFmt w:val="lowerLetter"/>
      <w:pStyle w:val="ListAlpha0"/>
      <w:lvlText w:val="%1."/>
      <w:lvlJc w:val="left"/>
      <w:pPr>
        <w:tabs>
          <w:tab w:val="num" w:pos="425"/>
        </w:tabs>
        <w:ind w:left="425" w:hanging="425"/>
      </w:pPr>
      <w:rPr>
        <w:rFonts w:asciiTheme="minorHAnsi" w:hAnsiTheme="minorHAnsi" w:hint="default"/>
        <w:color w:val="4E4E50" w:themeColor="text2"/>
        <w:sz w:val="20"/>
      </w:rPr>
    </w:lvl>
    <w:lvl w:ilvl="1">
      <w:start w:val="1"/>
      <w:numFmt w:val="lowerRoman"/>
      <w:pStyle w:val="ListAlpha2"/>
      <w:lvlText w:val="%2."/>
      <w:lvlJc w:val="left"/>
      <w:pPr>
        <w:tabs>
          <w:tab w:val="num" w:pos="850"/>
        </w:tabs>
        <w:ind w:left="850" w:hanging="425"/>
      </w:pPr>
      <w:rPr>
        <w:rFonts w:asciiTheme="minorHAnsi" w:hAnsiTheme="minorHAnsi" w:hint="default"/>
        <w:color w:val="4E4E50" w:themeColor="text2"/>
      </w:rPr>
    </w:lvl>
    <w:lvl w:ilvl="2">
      <w:start w:val="1"/>
      <w:numFmt w:val="decimal"/>
      <w:pStyle w:val="ListAlpha3"/>
      <w:lvlText w:val="%3."/>
      <w:lvlJc w:val="left"/>
      <w:pPr>
        <w:tabs>
          <w:tab w:val="num" w:pos="1275"/>
        </w:tabs>
        <w:ind w:left="1275" w:hanging="425"/>
      </w:pPr>
      <w:rPr>
        <w:rFonts w:asciiTheme="minorHAnsi" w:hAnsiTheme="minorHAnsi" w:hint="default"/>
        <w:color w:val="4E4E50" w:themeColor="text2"/>
        <w:sz w:val="20"/>
      </w:rPr>
    </w:lvl>
    <w:lvl w:ilvl="3">
      <w:start w:val="1"/>
      <w:numFmt w:val="upperLetter"/>
      <w:pStyle w:val="ListAlpha4"/>
      <w:lvlText w:val="%4."/>
      <w:lvlJc w:val="left"/>
      <w:pPr>
        <w:tabs>
          <w:tab w:val="num" w:pos="1700"/>
        </w:tabs>
        <w:ind w:left="1700" w:hanging="425"/>
      </w:pPr>
      <w:rPr>
        <w:rFonts w:asciiTheme="minorHAnsi" w:hAnsiTheme="minorHAnsi" w:hint="default"/>
        <w:color w:val="4E4E50" w:themeColor="text2"/>
        <w:sz w:val="20"/>
      </w:rPr>
    </w:lvl>
    <w:lvl w:ilvl="4">
      <w:start w:val="1"/>
      <w:numFmt w:val="upperRoman"/>
      <w:pStyle w:val="ListAlpha5"/>
      <w:lvlText w:val="%5."/>
      <w:lvlJc w:val="left"/>
      <w:pPr>
        <w:tabs>
          <w:tab w:val="num" w:pos="2125"/>
        </w:tabs>
        <w:ind w:left="2125" w:hanging="425"/>
      </w:pPr>
      <w:rPr>
        <w:rFonts w:asciiTheme="minorHAnsi" w:hAnsiTheme="minorHAnsi" w:hint="default"/>
        <w:color w:val="4E4E50" w:themeColor="text2"/>
        <w:sz w:val="20"/>
      </w:rPr>
    </w:lvl>
    <w:lvl w:ilvl="5">
      <w:start w:val="1"/>
      <w:numFmt w:val="decimal"/>
      <w:pStyle w:val="ListAlpha6"/>
      <w:lvlText w:val="%6."/>
      <w:lvlJc w:val="left"/>
      <w:pPr>
        <w:tabs>
          <w:tab w:val="num" w:pos="2550"/>
        </w:tabs>
        <w:ind w:left="2550" w:hanging="425"/>
      </w:pPr>
      <w:rPr>
        <w:rFonts w:asciiTheme="minorHAnsi" w:hAnsiTheme="minorHAnsi" w:hint="default"/>
        <w:color w:val="4E4E50" w:themeColor="text2"/>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Tahoma" w:hAnsi="Tahoma" w:hint="default"/>
        <w:color w:val="4E4E50" w:themeColor="text2"/>
        <w:sz w:val="20"/>
      </w:rPr>
    </w:lvl>
    <w:lvl w:ilvl="1">
      <w:start w:val="1"/>
      <w:numFmt w:val="bullet"/>
      <w:pStyle w:val="TableBullet2"/>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1AE6DC6"/>
    <w:multiLevelType w:val="multilevel"/>
    <w:tmpl w:val="736ECFBA"/>
    <w:numStyleLink w:val="ListTableNumber"/>
  </w:abstractNum>
  <w:abstractNum w:abstractNumId="6" w15:restartNumberingAfterBreak="0">
    <w:nsid w:val="15D96285"/>
    <w:multiLevelType w:val="hybridMultilevel"/>
    <w:tmpl w:val="C4B028B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7000C6F"/>
    <w:multiLevelType w:val="hybridMultilevel"/>
    <w:tmpl w:val="EAF8DB7C"/>
    <w:lvl w:ilvl="0" w:tplc="A0C2A04C">
      <w:start w:val="1"/>
      <w:numFmt w:val="lowerRoman"/>
      <w:lvlText w:val="%1)"/>
      <w:lvlJc w:val="left"/>
      <w:pPr>
        <w:ind w:left="833" w:hanging="72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20982562"/>
    <w:multiLevelType w:val="multilevel"/>
    <w:tmpl w:val="E74A8622"/>
    <w:numStyleLink w:val="ListNumber"/>
  </w:abstractNum>
  <w:abstractNum w:abstractNumId="9" w15:restartNumberingAfterBreak="0">
    <w:nsid w:val="23221200"/>
    <w:multiLevelType w:val="multilevel"/>
    <w:tmpl w:val="C650990E"/>
    <w:numStyleLink w:val="ListBullet"/>
  </w:abstractNum>
  <w:abstractNum w:abstractNumId="10" w15:restartNumberingAfterBreak="0">
    <w:nsid w:val="24741D40"/>
    <w:multiLevelType w:val="multilevel"/>
    <w:tmpl w:val="E74A8622"/>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4E4E50"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4E4E50" w:themeColor="text2"/>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4E4E50" w:themeColor="text2"/>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4E4E50" w:themeColor="text2"/>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4E4E50" w:themeColor="text2"/>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4E4E50" w:themeColor="text2"/>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1" w15:restartNumberingAfterBreak="0">
    <w:nsid w:val="2FB61FDA"/>
    <w:multiLevelType w:val="hybridMultilevel"/>
    <w:tmpl w:val="50F436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AD1F85"/>
    <w:multiLevelType w:val="hybridMultilevel"/>
    <w:tmpl w:val="D6A2AE64"/>
    <w:lvl w:ilvl="0" w:tplc="FBB867C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353912ED"/>
    <w:multiLevelType w:val="multilevel"/>
    <w:tmpl w:val="C650990E"/>
    <w:styleLink w:val="ListBullet"/>
    <w:lvl w:ilvl="0">
      <w:start w:val="1"/>
      <w:numFmt w:val="bullet"/>
      <w:pStyle w:val="ListBullet0"/>
      <w:lvlText w:val="»"/>
      <w:lvlJc w:val="left"/>
      <w:pPr>
        <w:tabs>
          <w:tab w:val="num" w:pos="425"/>
        </w:tabs>
        <w:ind w:left="425" w:hanging="425"/>
      </w:pPr>
      <w:rPr>
        <w:rFonts w:ascii="Tahoma" w:hAnsi="Tahoma" w:hint="default"/>
        <w:b w:val="0"/>
        <w:i w:val="0"/>
        <w:color w:val="4E4E50" w:themeColor="text2"/>
        <w:sz w:val="20"/>
        <w:szCs w:val="20"/>
      </w:rPr>
    </w:lvl>
    <w:lvl w:ilvl="1">
      <w:start w:val="1"/>
      <w:numFmt w:val="bullet"/>
      <w:pStyle w:val="ListBullet2"/>
      <w:lvlText w:val="&gt;"/>
      <w:lvlJc w:val="left"/>
      <w:pPr>
        <w:tabs>
          <w:tab w:val="num" w:pos="850"/>
        </w:tabs>
        <w:ind w:left="850" w:hanging="425"/>
      </w:pPr>
      <w:rPr>
        <w:rFonts w:ascii="Tahoma" w:hAnsi="Tahoma" w:hint="default"/>
        <w:caps w:val="0"/>
        <w:strike w:val="0"/>
        <w:dstrike w:val="0"/>
        <w:vanish w:val="0"/>
        <w:color w:val="4E4E50" w:themeColor="text2"/>
        <w:sz w:val="20"/>
        <w:u w:val="none"/>
        <w:vertAlign w:val="baseline"/>
      </w:rPr>
    </w:lvl>
    <w:lvl w:ilvl="2">
      <w:start w:val="1"/>
      <w:numFmt w:val="bullet"/>
      <w:pStyle w:val="ListBullet3"/>
      <w:lvlText w:val="—"/>
      <w:lvlJc w:val="left"/>
      <w:pPr>
        <w:tabs>
          <w:tab w:val="num" w:pos="1275"/>
        </w:tabs>
        <w:ind w:left="1275" w:hanging="425"/>
      </w:pPr>
      <w:rPr>
        <w:rFonts w:ascii="Tahoma" w:hAnsi="Tahoma" w:hint="default"/>
        <w:color w:val="4E4E50" w:themeColor="text2"/>
        <w:sz w:val="20"/>
      </w:rPr>
    </w:lvl>
    <w:lvl w:ilvl="3">
      <w:start w:val="1"/>
      <w:numFmt w:val="bullet"/>
      <w:pStyle w:val="ListBullet4"/>
      <w:lvlText w:val="»"/>
      <w:lvlJc w:val="left"/>
      <w:pPr>
        <w:tabs>
          <w:tab w:val="num" w:pos="1700"/>
        </w:tabs>
        <w:ind w:left="1700" w:hanging="425"/>
      </w:pPr>
      <w:rPr>
        <w:rFonts w:ascii="Tahoma" w:hAnsi="Tahoma" w:hint="default"/>
        <w:caps w:val="0"/>
        <w:strike w:val="0"/>
        <w:dstrike w:val="0"/>
        <w:vanish w:val="0"/>
        <w:color w:val="4E4E50" w:themeColor="text2"/>
        <w:sz w:val="20"/>
        <w:u w:val="none"/>
        <w:vertAlign w:val="baseline"/>
      </w:rPr>
    </w:lvl>
    <w:lvl w:ilvl="4">
      <w:start w:val="1"/>
      <w:numFmt w:val="bullet"/>
      <w:pStyle w:val="ListBullet5"/>
      <w:lvlText w:val="&gt;"/>
      <w:lvlJc w:val="left"/>
      <w:pPr>
        <w:tabs>
          <w:tab w:val="num" w:pos="2125"/>
        </w:tabs>
        <w:ind w:left="2125" w:hanging="425"/>
      </w:pPr>
      <w:rPr>
        <w:rFonts w:ascii="Tahoma" w:hAnsi="Tahoma" w:hint="default"/>
        <w:color w:val="4E4E50" w:themeColor="text2"/>
        <w:sz w:val="20"/>
      </w:rPr>
    </w:lvl>
    <w:lvl w:ilvl="5">
      <w:start w:val="1"/>
      <w:numFmt w:val="bullet"/>
      <w:pStyle w:val="ListBullet6"/>
      <w:lvlText w:val="—"/>
      <w:lvlJc w:val="left"/>
      <w:pPr>
        <w:tabs>
          <w:tab w:val="num" w:pos="2550"/>
        </w:tabs>
        <w:ind w:left="2550" w:hanging="425"/>
      </w:pPr>
      <w:rPr>
        <w:rFonts w:ascii="Tahoma" w:hAnsi="Tahoma" w:hint="default"/>
        <w:caps w:val="0"/>
        <w:strike w:val="0"/>
        <w:dstrike w:val="0"/>
        <w:vanish w:val="0"/>
        <w:color w:val="4E4E50" w:themeColor="text2"/>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4" w15:restartNumberingAfterBreak="0">
    <w:nsid w:val="374E66E4"/>
    <w:multiLevelType w:val="multilevel"/>
    <w:tmpl w:val="7F6A9ED2"/>
    <w:styleLink w:val="ListAppHeadings"/>
    <w:lvl w:ilvl="0">
      <w:start w:val="1"/>
      <w:numFmt w:val="upperLetter"/>
      <w:pStyle w:val="AppHeading1"/>
      <w:lvlText w:val="%1"/>
      <w:lvlJc w:val="left"/>
      <w:pPr>
        <w:tabs>
          <w:tab w:val="num" w:pos="1134"/>
        </w:tabs>
        <w:ind w:left="1134" w:hanging="1134"/>
      </w:pPr>
      <w:rPr>
        <w:rFonts w:hint="default"/>
        <w:b w:val="0"/>
        <w:i w:val="0"/>
        <w:caps w:val="0"/>
        <w:strike w:val="0"/>
        <w:dstrike w:val="0"/>
        <w:vanish w:val="0"/>
        <w:color w:val="41A62A" w:themeColor="accent1"/>
        <w:vertAlign w:val="baseline"/>
      </w:rPr>
    </w:lvl>
    <w:lvl w:ilvl="1">
      <w:start w:val="1"/>
      <w:numFmt w:val="decimal"/>
      <w:pStyle w:val="AppHeading2"/>
      <w:lvlText w:val="%1-%2"/>
      <w:lvlJc w:val="left"/>
      <w:pPr>
        <w:tabs>
          <w:tab w:val="num" w:pos="1134"/>
        </w:tabs>
        <w:ind w:left="1134" w:hanging="1134"/>
      </w:pPr>
      <w:rPr>
        <w:rFonts w:hint="default"/>
        <w:b w:val="0"/>
        <w:i w:val="0"/>
        <w:caps w:val="0"/>
        <w:strike w:val="0"/>
        <w:dstrike w:val="0"/>
        <w:vanish w:val="0"/>
        <w:color w:val="4E4E50" w:themeColor="accent2"/>
        <w:vertAlign w:val="baseline"/>
      </w:rPr>
    </w:lvl>
    <w:lvl w:ilvl="2">
      <w:start w:val="1"/>
      <w:numFmt w:val="decimal"/>
      <w:pStyle w:val="AppHeading3"/>
      <w:lvlText w:val="%1-%2-%3"/>
      <w:lvlJc w:val="left"/>
      <w:pPr>
        <w:tabs>
          <w:tab w:val="num" w:pos="1134"/>
        </w:tabs>
        <w:ind w:left="1134" w:hanging="1134"/>
      </w:pPr>
      <w:rPr>
        <w:rFonts w:hint="default"/>
        <w:b w:val="0"/>
        <w:i w:val="0"/>
        <w:caps w:val="0"/>
        <w:strike w:val="0"/>
        <w:dstrike w:val="0"/>
        <w:vanish w:val="0"/>
        <w:color w:val="4E4E50" w:themeColor="accent2"/>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7F212B"/>
    <w:multiLevelType w:val="multilevel"/>
    <w:tmpl w:val="7F6A9ED2"/>
    <w:numStyleLink w:val="ListAppHeadings"/>
  </w:abstractNum>
  <w:abstractNum w:abstractNumId="16" w15:restartNumberingAfterBreak="0">
    <w:nsid w:val="39C56B24"/>
    <w:multiLevelType w:val="hybridMultilevel"/>
    <w:tmpl w:val="04849C1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B5B5A9B"/>
    <w:multiLevelType w:val="multilevel"/>
    <w:tmpl w:val="4F642FBC"/>
    <w:numStyleLink w:val="ListAlpha"/>
  </w:abstractNum>
  <w:abstractNum w:abstractNumId="18" w15:restartNumberingAfterBreak="0">
    <w:nsid w:val="3CBE07EA"/>
    <w:multiLevelType w:val="hybridMultilevel"/>
    <w:tmpl w:val="A018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2020C"/>
    <w:multiLevelType w:val="hybridMultilevel"/>
    <w:tmpl w:val="77FC8D82"/>
    <w:lvl w:ilvl="0" w:tplc="BBE0F376">
      <w:start w:val="1"/>
      <w:numFmt w:val="lowerRoman"/>
      <w:lvlText w:val="%1."/>
      <w:lvlJc w:val="left"/>
      <w:pPr>
        <w:ind w:left="833" w:hanging="72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0" w15:restartNumberingAfterBreak="0">
    <w:nsid w:val="40071FAE"/>
    <w:multiLevelType w:val="multilevel"/>
    <w:tmpl w:val="F18C11DC"/>
    <w:styleLink w:val="ListNumberedHeadings"/>
    <w:lvl w:ilvl="0">
      <w:start w:val="1"/>
      <w:numFmt w:val="decimal"/>
      <w:pStyle w:val="Heading1"/>
      <w:lvlText w:val="%1"/>
      <w:lvlJc w:val="left"/>
      <w:pPr>
        <w:tabs>
          <w:tab w:val="num" w:pos="1134"/>
        </w:tabs>
        <w:ind w:left="1134" w:hanging="1134"/>
      </w:pPr>
      <w:rPr>
        <w:rFonts w:asciiTheme="majorHAnsi" w:hAnsiTheme="majorHAnsi" w:hint="default"/>
        <w:b w:val="0"/>
        <w:caps w:val="0"/>
        <w:strike w:val="0"/>
        <w:dstrike w:val="0"/>
        <w:vanish w:val="0"/>
        <w:color w:val="41A62A" w:themeColor="accent1"/>
        <w:vertAlign w:val="baseline"/>
      </w:rPr>
    </w:lvl>
    <w:lvl w:ilvl="1">
      <w:start w:val="1"/>
      <w:numFmt w:val="decimal"/>
      <w:pStyle w:val="Heading2"/>
      <w:lvlText w:val="%1.%2"/>
      <w:lvlJc w:val="left"/>
      <w:pPr>
        <w:tabs>
          <w:tab w:val="num" w:pos="1134"/>
        </w:tabs>
        <w:ind w:left="1134" w:hanging="1134"/>
      </w:pPr>
      <w:rPr>
        <w:rFonts w:asciiTheme="majorHAnsi" w:hAnsiTheme="majorHAnsi" w:hint="default"/>
        <w:b w:val="0"/>
        <w:i w:val="0"/>
        <w:caps w:val="0"/>
        <w:strike w:val="0"/>
        <w:dstrike w:val="0"/>
        <w:vanish w:val="0"/>
        <w:color w:val="4E4E50" w:themeColor="accent2"/>
        <w:vertAlign w:val="baseline"/>
      </w:rPr>
    </w:lvl>
    <w:lvl w:ilvl="2">
      <w:start w:val="1"/>
      <w:numFmt w:val="decimal"/>
      <w:pStyle w:val="Heading3"/>
      <w:lvlText w:val="%1.%2.%3"/>
      <w:lvlJc w:val="left"/>
      <w:pPr>
        <w:tabs>
          <w:tab w:val="num" w:pos="1134"/>
        </w:tabs>
        <w:ind w:left="1134" w:hanging="1134"/>
      </w:pPr>
      <w:rPr>
        <w:rFonts w:asciiTheme="majorHAnsi" w:hAnsiTheme="majorHAnsi" w:hint="default"/>
        <w:b w:val="0"/>
        <w:caps w:val="0"/>
        <w:strike w:val="0"/>
        <w:dstrike w:val="0"/>
        <w:vanish w:val="0"/>
        <w:color w:val="4E4E50" w:themeColor="accent2"/>
        <w:vertAlign w:val="baseline"/>
      </w:rPr>
    </w:lvl>
    <w:lvl w:ilvl="3">
      <w:start w:val="1"/>
      <w:numFmt w:val="decimal"/>
      <w:lvlText w:val="%1.%2.%3.%4"/>
      <w:lvlJc w:val="left"/>
      <w:pPr>
        <w:tabs>
          <w:tab w:val="num" w:pos="1134"/>
        </w:tabs>
        <w:ind w:left="1134" w:hanging="1134"/>
      </w:pPr>
      <w:rPr>
        <w:rFonts w:asciiTheme="majorHAnsi" w:hAnsiTheme="majorHAnsi" w:hint="default"/>
        <w:b w:val="0"/>
        <w:caps w:val="0"/>
        <w:strike w:val="0"/>
        <w:dstrike w:val="0"/>
        <w:vanish w:val="0"/>
        <w:color w:val="41A62A" w:themeColor="accent1"/>
        <w:sz w:val="26"/>
        <w:vertAlign w:val="baseline"/>
      </w:rPr>
    </w:lvl>
    <w:lvl w:ilvl="4">
      <w:start w:val="1"/>
      <w:numFmt w:val="none"/>
      <w:suff w:val="nothing"/>
      <w:lvlText w:val=""/>
      <w:lvlJc w:val="left"/>
      <w:pPr>
        <w:ind w:left="0" w:firstLine="0"/>
      </w:pPr>
      <w:rPr>
        <w:rFonts w:asciiTheme="majorHAnsi" w:hAnsiTheme="majorHAnsi" w:hint="default"/>
        <w:color w:val="auto"/>
        <w:sz w:val="20"/>
      </w:rPr>
    </w:lvl>
    <w:lvl w:ilvl="5">
      <w:start w:val="1"/>
      <w:numFmt w:val="none"/>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22963E5"/>
    <w:multiLevelType w:val="hybridMultilevel"/>
    <w:tmpl w:val="574EE2F2"/>
    <w:lvl w:ilvl="0" w:tplc="0C09001B">
      <w:start w:val="1"/>
      <w:numFmt w:val="lowerRoman"/>
      <w:lvlText w:val="%1."/>
      <w:lvlJc w:val="right"/>
      <w:pPr>
        <w:ind w:left="833" w:hanging="360"/>
      </w:pPr>
    </w:lvl>
    <w:lvl w:ilvl="1" w:tplc="0C090019">
      <w:start w:val="1"/>
      <w:numFmt w:val="lowerLetter"/>
      <w:lvlText w:val="%2."/>
      <w:lvlJc w:val="left"/>
      <w:pPr>
        <w:ind w:left="1553" w:hanging="360"/>
      </w:pPr>
    </w:lvl>
    <w:lvl w:ilvl="2" w:tplc="1A8001F2">
      <w:start w:val="1"/>
      <w:numFmt w:val="bullet"/>
      <w:lvlText w:val="-"/>
      <w:lvlJc w:val="left"/>
      <w:pPr>
        <w:ind w:left="2453" w:hanging="360"/>
      </w:pPr>
      <w:rPr>
        <w:rFonts w:ascii="Tahoma" w:eastAsiaTheme="minorHAnsi" w:hAnsi="Tahoma" w:cs="Tahoma" w:hint="default"/>
      </w:r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2" w15:restartNumberingAfterBreak="0">
    <w:nsid w:val="443147D2"/>
    <w:multiLevelType w:val="hybridMultilevel"/>
    <w:tmpl w:val="25C447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D93A71"/>
    <w:multiLevelType w:val="hybridMultilevel"/>
    <w:tmpl w:val="EB62AD3E"/>
    <w:lvl w:ilvl="0" w:tplc="ED34ACFC">
      <w:start w:val="3"/>
      <w:numFmt w:val="bullet"/>
      <w:lvlText w:val="-"/>
      <w:lvlJc w:val="left"/>
      <w:pPr>
        <w:ind w:left="473" w:hanging="360"/>
      </w:pPr>
      <w:rPr>
        <w:rFonts w:ascii="Tahoma" w:eastAsiaTheme="minorHAnsi" w:hAnsi="Tahoma" w:cs="Tahoma"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53D00FD0"/>
    <w:multiLevelType w:val="multilevel"/>
    <w:tmpl w:val="64A2045C"/>
    <w:numStyleLink w:val="ListParagraph"/>
  </w:abstractNum>
  <w:abstractNum w:abstractNumId="25" w15:restartNumberingAfterBreak="0">
    <w:nsid w:val="5E104F71"/>
    <w:multiLevelType w:val="hybridMultilevel"/>
    <w:tmpl w:val="AE36D488"/>
    <w:lvl w:ilvl="0" w:tplc="0C09001B">
      <w:start w:val="1"/>
      <w:numFmt w:val="lowerRoman"/>
      <w:lvlText w:val="%1."/>
      <w:lvlJc w:val="righ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6" w15:restartNumberingAfterBreak="0">
    <w:nsid w:val="60B37A22"/>
    <w:multiLevelType w:val="multilevel"/>
    <w:tmpl w:val="F18C11DC"/>
    <w:numStyleLink w:val="ListNumberedHeadings"/>
  </w:abstractNum>
  <w:abstractNum w:abstractNumId="27" w15:restartNumberingAfterBreak="0">
    <w:nsid w:val="61E548D2"/>
    <w:multiLevelType w:val="hybridMultilevel"/>
    <w:tmpl w:val="B91034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4E4E50" w:themeColor="text2"/>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4E4E50" w:themeColor="text2"/>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E2E1EA2"/>
    <w:multiLevelType w:val="multilevel"/>
    <w:tmpl w:val="F78A1DCA"/>
    <w:numStyleLink w:val="ListTableBullet"/>
  </w:abstractNum>
  <w:abstractNum w:abstractNumId="30" w15:restartNumberingAfterBreak="0">
    <w:nsid w:val="703F65EF"/>
    <w:multiLevelType w:val="multilevel"/>
    <w:tmpl w:val="6DAE25A8"/>
    <w:styleLink w:val="ListTableAlpha"/>
    <w:lvl w:ilvl="0">
      <w:start w:val="1"/>
      <w:numFmt w:val="lowerLetter"/>
      <w:pStyle w:val="TableAlpha"/>
      <w:lvlText w:val="%1."/>
      <w:lvlJc w:val="left"/>
      <w:pPr>
        <w:tabs>
          <w:tab w:val="num" w:pos="397"/>
        </w:tabs>
        <w:ind w:left="397" w:hanging="284"/>
      </w:pPr>
      <w:rPr>
        <w:rFonts w:hint="default"/>
      </w:rPr>
    </w:lvl>
    <w:lvl w:ilvl="1">
      <w:start w:val="1"/>
      <w:numFmt w:val="lowerRoman"/>
      <w:pStyle w:val="TableAlpha2"/>
      <w:lvlText w:val="%2."/>
      <w:lvlJc w:val="left"/>
      <w:pPr>
        <w:tabs>
          <w:tab w:val="num" w:pos="680"/>
        </w:tabs>
        <w:ind w:left="680" w:hanging="28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3"/>
  </w:num>
  <w:num w:numId="2">
    <w:abstractNumId w:val="13"/>
  </w:num>
  <w:num w:numId="3">
    <w:abstractNumId w:val="10"/>
  </w:num>
  <w:num w:numId="4">
    <w:abstractNumId w:val="20"/>
  </w:num>
  <w:num w:numId="5">
    <w:abstractNumId w:val="1"/>
  </w:num>
  <w:num w:numId="6">
    <w:abstractNumId w:val="4"/>
  </w:num>
  <w:num w:numId="7">
    <w:abstractNumId w:val="28"/>
  </w:num>
  <w:num w:numId="8">
    <w:abstractNumId w:val="24"/>
  </w:num>
  <w:num w:numId="9">
    <w:abstractNumId w:val="17"/>
  </w:num>
  <w:num w:numId="10">
    <w:abstractNumId w:val="8"/>
  </w:num>
  <w:num w:numId="11">
    <w:abstractNumId w:val="9"/>
  </w:num>
  <w:num w:numId="12">
    <w:abstractNumId w:val="29"/>
  </w:num>
  <w:num w:numId="13">
    <w:abstractNumId w:val="5"/>
  </w:num>
  <w:num w:numId="14">
    <w:abstractNumId w:val="14"/>
  </w:num>
  <w:num w:numId="15">
    <w:abstractNumId w:val="15"/>
  </w:num>
  <w:num w:numId="16">
    <w:abstractNumId w:val="0"/>
  </w:num>
  <w:num w:numId="17">
    <w:abstractNumId w:val="26"/>
  </w:num>
  <w:num w:numId="18">
    <w:abstractNumId w:val="30"/>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25"/>
  </w:num>
  <w:num w:numId="66">
    <w:abstractNumId w:val="27"/>
  </w:num>
  <w:num w:numId="67">
    <w:abstractNumId w:val="18"/>
  </w:num>
  <w:num w:numId="68">
    <w:abstractNumId w:val="16"/>
  </w:num>
  <w:num w:numId="69">
    <w:abstractNumId w:val="6"/>
  </w:num>
  <w:num w:numId="70">
    <w:abstractNumId w:val="7"/>
  </w:num>
  <w:num w:numId="71">
    <w:abstractNumId w:val="21"/>
  </w:num>
  <w:num w:numId="72">
    <w:abstractNumId w:val="2"/>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19"/>
  </w:num>
  <w:num w:numId="78">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lickAndTypeStyle w:val="BodyText"/>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2E22C3"/>
    <w:rsid w:val="000019D1"/>
    <w:rsid w:val="000045AF"/>
    <w:rsid w:val="00006100"/>
    <w:rsid w:val="00015658"/>
    <w:rsid w:val="00031CAC"/>
    <w:rsid w:val="00036F63"/>
    <w:rsid w:val="00037BAD"/>
    <w:rsid w:val="00037D1B"/>
    <w:rsid w:val="00042E61"/>
    <w:rsid w:val="00044C0B"/>
    <w:rsid w:val="00050463"/>
    <w:rsid w:val="00051387"/>
    <w:rsid w:val="0005445D"/>
    <w:rsid w:val="00061AB5"/>
    <w:rsid w:val="00067ED7"/>
    <w:rsid w:val="00070077"/>
    <w:rsid w:val="00071006"/>
    <w:rsid w:val="00071C7D"/>
    <w:rsid w:val="00072929"/>
    <w:rsid w:val="00074E77"/>
    <w:rsid w:val="000761A6"/>
    <w:rsid w:val="00076F97"/>
    <w:rsid w:val="0008159C"/>
    <w:rsid w:val="0008258D"/>
    <w:rsid w:val="00082EE7"/>
    <w:rsid w:val="00083B7C"/>
    <w:rsid w:val="0008618B"/>
    <w:rsid w:val="000870BB"/>
    <w:rsid w:val="00087170"/>
    <w:rsid w:val="000871A4"/>
    <w:rsid w:val="00087D93"/>
    <w:rsid w:val="00094E78"/>
    <w:rsid w:val="000A0F7A"/>
    <w:rsid w:val="000A2953"/>
    <w:rsid w:val="000B2C15"/>
    <w:rsid w:val="000B3EBE"/>
    <w:rsid w:val="000B6352"/>
    <w:rsid w:val="000B6FA1"/>
    <w:rsid w:val="000B7D70"/>
    <w:rsid w:val="000C0C22"/>
    <w:rsid w:val="000C1D1E"/>
    <w:rsid w:val="000C2DD2"/>
    <w:rsid w:val="000C7DA6"/>
    <w:rsid w:val="000D1F6F"/>
    <w:rsid w:val="000D229E"/>
    <w:rsid w:val="000D622C"/>
    <w:rsid w:val="000F4A35"/>
    <w:rsid w:val="000F4FC0"/>
    <w:rsid w:val="00100AB8"/>
    <w:rsid w:val="001063C6"/>
    <w:rsid w:val="00110F24"/>
    <w:rsid w:val="00112147"/>
    <w:rsid w:val="00113385"/>
    <w:rsid w:val="001146E8"/>
    <w:rsid w:val="00114EAC"/>
    <w:rsid w:val="00115F83"/>
    <w:rsid w:val="00123C94"/>
    <w:rsid w:val="00124672"/>
    <w:rsid w:val="00125BE5"/>
    <w:rsid w:val="0013181E"/>
    <w:rsid w:val="0013189B"/>
    <w:rsid w:val="0013218E"/>
    <w:rsid w:val="0014073D"/>
    <w:rsid w:val="00145CCD"/>
    <w:rsid w:val="00145EEB"/>
    <w:rsid w:val="00147D68"/>
    <w:rsid w:val="001505D8"/>
    <w:rsid w:val="00150D3C"/>
    <w:rsid w:val="00154790"/>
    <w:rsid w:val="001550E7"/>
    <w:rsid w:val="00155822"/>
    <w:rsid w:val="00156423"/>
    <w:rsid w:val="00157FCB"/>
    <w:rsid w:val="001600E5"/>
    <w:rsid w:val="00167390"/>
    <w:rsid w:val="00170F7B"/>
    <w:rsid w:val="00171EF9"/>
    <w:rsid w:val="00173A98"/>
    <w:rsid w:val="00180D7D"/>
    <w:rsid w:val="001829A7"/>
    <w:rsid w:val="00184F00"/>
    <w:rsid w:val="00185154"/>
    <w:rsid w:val="0019114D"/>
    <w:rsid w:val="001A235C"/>
    <w:rsid w:val="001A3B2A"/>
    <w:rsid w:val="001A431A"/>
    <w:rsid w:val="001A531B"/>
    <w:rsid w:val="001A5839"/>
    <w:rsid w:val="001A5ABA"/>
    <w:rsid w:val="001A5E2B"/>
    <w:rsid w:val="001B263E"/>
    <w:rsid w:val="001C3C39"/>
    <w:rsid w:val="001C4E03"/>
    <w:rsid w:val="001C66E3"/>
    <w:rsid w:val="001D2BE7"/>
    <w:rsid w:val="001D6C9E"/>
    <w:rsid w:val="001D72AE"/>
    <w:rsid w:val="001E2937"/>
    <w:rsid w:val="001E32B6"/>
    <w:rsid w:val="001E684F"/>
    <w:rsid w:val="001F15CE"/>
    <w:rsid w:val="001F16CA"/>
    <w:rsid w:val="001F560B"/>
    <w:rsid w:val="00201490"/>
    <w:rsid w:val="0020762B"/>
    <w:rsid w:val="002078C1"/>
    <w:rsid w:val="002079D2"/>
    <w:rsid w:val="002106C4"/>
    <w:rsid w:val="00210DEF"/>
    <w:rsid w:val="002115A8"/>
    <w:rsid w:val="00211B46"/>
    <w:rsid w:val="0021205B"/>
    <w:rsid w:val="00222215"/>
    <w:rsid w:val="002236E9"/>
    <w:rsid w:val="00223B71"/>
    <w:rsid w:val="00225F18"/>
    <w:rsid w:val="00235EA6"/>
    <w:rsid w:val="00242C5B"/>
    <w:rsid w:val="0025119D"/>
    <w:rsid w:val="00252201"/>
    <w:rsid w:val="00254DD8"/>
    <w:rsid w:val="00257DDF"/>
    <w:rsid w:val="002602D2"/>
    <w:rsid w:val="002630C9"/>
    <w:rsid w:val="00266A89"/>
    <w:rsid w:val="00275ED9"/>
    <w:rsid w:val="00290E8A"/>
    <w:rsid w:val="00291BFA"/>
    <w:rsid w:val="00296E2D"/>
    <w:rsid w:val="002B4003"/>
    <w:rsid w:val="002B45EA"/>
    <w:rsid w:val="002B7AD5"/>
    <w:rsid w:val="002C1B22"/>
    <w:rsid w:val="002C3075"/>
    <w:rsid w:val="002C3BDC"/>
    <w:rsid w:val="002C42C1"/>
    <w:rsid w:val="002C5B1C"/>
    <w:rsid w:val="002C6FA2"/>
    <w:rsid w:val="002D0C4F"/>
    <w:rsid w:val="002D4254"/>
    <w:rsid w:val="002D4E6E"/>
    <w:rsid w:val="002D5799"/>
    <w:rsid w:val="002E1F8D"/>
    <w:rsid w:val="002E22C3"/>
    <w:rsid w:val="002F4862"/>
    <w:rsid w:val="002F504F"/>
    <w:rsid w:val="00301893"/>
    <w:rsid w:val="00306217"/>
    <w:rsid w:val="00310363"/>
    <w:rsid w:val="0032265D"/>
    <w:rsid w:val="00323679"/>
    <w:rsid w:val="00337CA6"/>
    <w:rsid w:val="003411DD"/>
    <w:rsid w:val="0035193F"/>
    <w:rsid w:val="00357D55"/>
    <w:rsid w:val="0036518D"/>
    <w:rsid w:val="00367400"/>
    <w:rsid w:val="003677A4"/>
    <w:rsid w:val="003718A4"/>
    <w:rsid w:val="0037398C"/>
    <w:rsid w:val="0037618F"/>
    <w:rsid w:val="003853C1"/>
    <w:rsid w:val="00386F2A"/>
    <w:rsid w:val="00391F3B"/>
    <w:rsid w:val="00392411"/>
    <w:rsid w:val="003A04C1"/>
    <w:rsid w:val="003A08A5"/>
    <w:rsid w:val="003A7DE2"/>
    <w:rsid w:val="003B0945"/>
    <w:rsid w:val="003B097F"/>
    <w:rsid w:val="003B4DCF"/>
    <w:rsid w:val="003D3B71"/>
    <w:rsid w:val="003D4553"/>
    <w:rsid w:val="003D56AF"/>
    <w:rsid w:val="003E1EF3"/>
    <w:rsid w:val="003E436F"/>
    <w:rsid w:val="003E5319"/>
    <w:rsid w:val="003F327C"/>
    <w:rsid w:val="003F4279"/>
    <w:rsid w:val="003F4C53"/>
    <w:rsid w:val="003F6D33"/>
    <w:rsid w:val="0040019B"/>
    <w:rsid w:val="00401CBB"/>
    <w:rsid w:val="0040339E"/>
    <w:rsid w:val="00404615"/>
    <w:rsid w:val="00407776"/>
    <w:rsid w:val="004178B4"/>
    <w:rsid w:val="00425C39"/>
    <w:rsid w:val="004264CD"/>
    <w:rsid w:val="00427353"/>
    <w:rsid w:val="0043564D"/>
    <w:rsid w:val="00435E2F"/>
    <w:rsid w:val="0043628A"/>
    <w:rsid w:val="00443ABD"/>
    <w:rsid w:val="004441C7"/>
    <w:rsid w:val="00444AE6"/>
    <w:rsid w:val="00447340"/>
    <w:rsid w:val="004478FD"/>
    <w:rsid w:val="00461ECB"/>
    <w:rsid w:val="004700B3"/>
    <w:rsid w:val="004701DE"/>
    <w:rsid w:val="004709CC"/>
    <w:rsid w:val="00471BC8"/>
    <w:rsid w:val="004733E5"/>
    <w:rsid w:val="004738C9"/>
    <w:rsid w:val="0047542F"/>
    <w:rsid w:val="00475EFD"/>
    <w:rsid w:val="00482309"/>
    <w:rsid w:val="00484630"/>
    <w:rsid w:val="004854F4"/>
    <w:rsid w:val="00491C59"/>
    <w:rsid w:val="004943D6"/>
    <w:rsid w:val="004A715D"/>
    <w:rsid w:val="004B1252"/>
    <w:rsid w:val="004B3EC4"/>
    <w:rsid w:val="004B6BDD"/>
    <w:rsid w:val="004B7DAE"/>
    <w:rsid w:val="004C1EBA"/>
    <w:rsid w:val="004C4783"/>
    <w:rsid w:val="004D6717"/>
    <w:rsid w:val="004D6EA8"/>
    <w:rsid w:val="004E79A4"/>
    <w:rsid w:val="004F1E65"/>
    <w:rsid w:val="004F2A3C"/>
    <w:rsid w:val="004F2DA1"/>
    <w:rsid w:val="004F3D6F"/>
    <w:rsid w:val="00500013"/>
    <w:rsid w:val="00501EFE"/>
    <w:rsid w:val="0050737B"/>
    <w:rsid w:val="0051056D"/>
    <w:rsid w:val="00522BBE"/>
    <w:rsid w:val="00522BFA"/>
    <w:rsid w:val="00523A3E"/>
    <w:rsid w:val="00523AF7"/>
    <w:rsid w:val="00526B15"/>
    <w:rsid w:val="005331C9"/>
    <w:rsid w:val="005420F5"/>
    <w:rsid w:val="0054542C"/>
    <w:rsid w:val="0055219D"/>
    <w:rsid w:val="0055353F"/>
    <w:rsid w:val="0055522F"/>
    <w:rsid w:val="00562951"/>
    <w:rsid w:val="00565B45"/>
    <w:rsid w:val="0056633F"/>
    <w:rsid w:val="005713E5"/>
    <w:rsid w:val="00572AFA"/>
    <w:rsid w:val="00573894"/>
    <w:rsid w:val="00581406"/>
    <w:rsid w:val="0058240B"/>
    <w:rsid w:val="005A2349"/>
    <w:rsid w:val="005A435A"/>
    <w:rsid w:val="005A52D4"/>
    <w:rsid w:val="005A6D1D"/>
    <w:rsid w:val="005B0C40"/>
    <w:rsid w:val="005B558A"/>
    <w:rsid w:val="005B5BCA"/>
    <w:rsid w:val="005C0930"/>
    <w:rsid w:val="005D4FE8"/>
    <w:rsid w:val="005D579F"/>
    <w:rsid w:val="005D5906"/>
    <w:rsid w:val="005D620B"/>
    <w:rsid w:val="005D7544"/>
    <w:rsid w:val="005E259B"/>
    <w:rsid w:val="005E27AF"/>
    <w:rsid w:val="005E6097"/>
    <w:rsid w:val="005F0A15"/>
    <w:rsid w:val="005F7882"/>
    <w:rsid w:val="006025ED"/>
    <w:rsid w:val="0060276B"/>
    <w:rsid w:val="0061089F"/>
    <w:rsid w:val="006127E2"/>
    <w:rsid w:val="00614060"/>
    <w:rsid w:val="006161BF"/>
    <w:rsid w:val="006211B5"/>
    <w:rsid w:val="0063108A"/>
    <w:rsid w:val="00631E81"/>
    <w:rsid w:val="00632FD0"/>
    <w:rsid w:val="00633235"/>
    <w:rsid w:val="00633B80"/>
    <w:rsid w:val="00650A8A"/>
    <w:rsid w:val="0065325A"/>
    <w:rsid w:val="00666AF1"/>
    <w:rsid w:val="00674316"/>
    <w:rsid w:val="00682F2A"/>
    <w:rsid w:val="00682F75"/>
    <w:rsid w:val="0068355C"/>
    <w:rsid w:val="00684E74"/>
    <w:rsid w:val="00690443"/>
    <w:rsid w:val="0069553B"/>
    <w:rsid w:val="006A0437"/>
    <w:rsid w:val="006A1801"/>
    <w:rsid w:val="006A2101"/>
    <w:rsid w:val="006B613F"/>
    <w:rsid w:val="006B6EF9"/>
    <w:rsid w:val="006C00F9"/>
    <w:rsid w:val="006C1A60"/>
    <w:rsid w:val="006C7FF7"/>
    <w:rsid w:val="006D22C5"/>
    <w:rsid w:val="006D2FD7"/>
    <w:rsid w:val="006D3047"/>
    <w:rsid w:val="006E02C2"/>
    <w:rsid w:val="006E0509"/>
    <w:rsid w:val="006E0D0B"/>
    <w:rsid w:val="006E29E8"/>
    <w:rsid w:val="006F1677"/>
    <w:rsid w:val="006F2D6F"/>
    <w:rsid w:val="006F6AC2"/>
    <w:rsid w:val="00701E90"/>
    <w:rsid w:val="00704C64"/>
    <w:rsid w:val="007135FE"/>
    <w:rsid w:val="007156B2"/>
    <w:rsid w:val="00716395"/>
    <w:rsid w:val="00717426"/>
    <w:rsid w:val="00731211"/>
    <w:rsid w:val="0073133D"/>
    <w:rsid w:val="00732A31"/>
    <w:rsid w:val="00736AEF"/>
    <w:rsid w:val="00741647"/>
    <w:rsid w:val="00745B30"/>
    <w:rsid w:val="0075304E"/>
    <w:rsid w:val="00754496"/>
    <w:rsid w:val="00760002"/>
    <w:rsid w:val="00770BF1"/>
    <w:rsid w:val="0077265E"/>
    <w:rsid w:val="00774E81"/>
    <w:rsid w:val="00787C63"/>
    <w:rsid w:val="007971B6"/>
    <w:rsid w:val="007A5346"/>
    <w:rsid w:val="007A6293"/>
    <w:rsid w:val="007B6C5E"/>
    <w:rsid w:val="007C35E4"/>
    <w:rsid w:val="007D76A0"/>
    <w:rsid w:val="007F1352"/>
    <w:rsid w:val="007F152B"/>
    <w:rsid w:val="007F319D"/>
    <w:rsid w:val="007F38E7"/>
    <w:rsid w:val="007F3A3E"/>
    <w:rsid w:val="007F7CCD"/>
    <w:rsid w:val="00807DA5"/>
    <w:rsid w:val="008101F0"/>
    <w:rsid w:val="00822503"/>
    <w:rsid w:val="00831047"/>
    <w:rsid w:val="008350DF"/>
    <w:rsid w:val="008354F2"/>
    <w:rsid w:val="00845296"/>
    <w:rsid w:val="00845393"/>
    <w:rsid w:val="00845470"/>
    <w:rsid w:val="00845732"/>
    <w:rsid w:val="008468E2"/>
    <w:rsid w:val="00851EC8"/>
    <w:rsid w:val="008572D9"/>
    <w:rsid w:val="008608FC"/>
    <w:rsid w:val="00861E13"/>
    <w:rsid w:val="00863738"/>
    <w:rsid w:val="00867D51"/>
    <w:rsid w:val="00874A90"/>
    <w:rsid w:val="00876617"/>
    <w:rsid w:val="00877C46"/>
    <w:rsid w:val="00892496"/>
    <w:rsid w:val="00892D2A"/>
    <w:rsid w:val="008A6F22"/>
    <w:rsid w:val="008B108A"/>
    <w:rsid w:val="008B241C"/>
    <w:rsid w:val="008B5D8F"/>
    <w:rsid w:val="008C000A"/>
    <w:rsid w:val="008D6A36"/>
    <w:rsid w:val="008F3628"/>
    <w:rsid w:val="008F4E0B"/>
    <w:rsid w:val="008F7E65"/>
    <w:rsid w:val="00900256"/>
    <w:rsid w:val="00902C62"/>
    <w:rsid w:val="009055A4"/>
    <w:rsid w:val="00907866"/>
    <w:rsid w:val="00915FFB"/>
    <w:rsid w:val="00917538"/>
    <w:rsid w:val="00920C6E"/>
    <w:rsid w:val="00921513"/>
    <w:rsid w:val="00921EBC"/>
    <w:rsid w:val="0092309E"/>
    <w:rsid w:val="00923949"/>
    <w:rsid w:val="00926438"/>
    <w:rsid w:val="009453E1"/>
    <w:rsid w:val="009468D8"/>
    <w:rsid w:val="00953458"/>
    <w:rsid w:val="009571D7"/>
    <w:rsid w:val="0096016E"/>
    <w:rsid w:val="00962DE9"/>
    <w:rsid w:val="00963F5E"/>
    <w:rsid w:val="00964B54"/>
    <w:rsid w:val="00966659"/>
    <w:rsid w:val="00970523"/>
    <w:rsid w:val="0097269E"/>
    <w:rsid w:val="00981C75"/>
    <w:rsid w:val="00983A34"/>
    <w:rsid w:val="009A13D8"/>
    <w:rsid w:val="009A199C"/>
    <w:rsid w:val="009A1A64"/>
    <w:rsid w:val="009A4625"/>
    <w:rsid w:val="009B0192"/>
    <w:rsid w:val="009B2847"/>
    <w:rsid w:val="009B68E4"/>
    <w:rsid w:val="009D3F15"/>
    <w:rsid w:val="009D670A"/>
    <w:rsid w:val="009E14E9"/>
    <w:rsid w:val="009E2FA0"/>
    <w:rsid w:val="009F1BC8"/>
    <w:rsid w:val="009F4A11"/>
    <w:rsid w:val="009F6CE7"/>
    <w:rsid w:val="00A04072"/>
    <w:rsid w:val="00A07497"/>
    <w:rsid w:val="00A07960"/>
    <w:rsid w:val="00A10136"/>
    <w:rsid w:val="00A11BBA"/>
    <w:rsid w:val="00A25F54"/>
    <w:rsid w:val="00A30E20"/>
    <w:rsid w:val="00A3167A"/>
    <w:rsid w:val="00A34259"/>
    <w:rsid w:val="00A35BBF"/>
    <w:rsid w:val="00A41250"/>
    <w:rsid w:val="00A41D4E"/>
    <w:rsid w:val="00A46C5E"/>
    <w:rsid w:val="00A46E5C"/>
    <w:rsid w:val="00A52A8F"/>
    <w:rsid w:val="00A5415A"/>
    <w:rsid w:val="00A55155"/>
    <w:rsid w:val="00A572EE"/>
    <w:rsid w:val="00A573B6"/>
    <w:rsid w:val="00A626BD"/>
    <w:rsid w:val="00A640FF"/>
    <w:rsid w:val="00A812B4"/>
    <w:rsid w:val="00A8169B"/>
    <w:rsid w:val="00A83349"/>
    <w:rsid w:val="00A83B38"/>
    <w:rsid w:val="00A84704"/>
    <w:rsid w:val="00A84CD6"/>
    <w:rsid w:val="00A90B04"/>
    <w:rsid w:val="00AA3054"/>
    <w:rsid w:val="00AA3F69"/>
    <w:rsid w:val="00AA49DC"/>
    <w:rsid w:val="00AA6010"/>
    <w:rsid w:val="00AA7D32"/>
    <w:rsid w:val="00AB1517"/>
    <w:rsid w:val="00AB3FA7"/>
    <w:rsid w:val="00AB4F21"/>
    <w:rsid w:val="00AC3060"/>
    <w:rsid w:val="00AC7375"/>
    <w:rsid w:val="00AD160F"/>
    <w:rsid w:val="00AD6EC2"/>
    <w:rsid w:val="00AE4698"/>
    <w:rsid w:val="00AE4C26"/>
    <w:rsid w:val="00AE57B6"/>
    <w:rsid w:val="00AE70B3"/>
    <w:rsid w:val="00AF2204"/>
    <w:rsid w:val="00AF2A39"/>
    <w:rsid w:val="00AF3149"/>
    <w:rsid w:val="00AF6F19"/>
    <w:rsid w:val="00B012F3"/>
    <w:rsid w:val="00B0167E"/>
    <w:rsid w:val="00B017F5"/>
    <w:rsid w:val="00B020F1"/>
    <w:rsid w:val="00B1092C"/>
    <w:rsid w:val="00B113CE"/>
    <w:rsid w:val="00B1273F"/>
    <w:rsid w:val="00B1282F"/>
    <w:rsid w:val="00B13B5A"/>
    <w:rsid w:val="00B2257E"/>
    <w:rsid w:val="00B2758E"/>
    <w:rsid w:val="00B34D55"/>
    <w:rsid w:val="00B359C9"/>
    <w:rsid w:val="00B37E44"/>
    <w:rsid w:val="00B40994"/>
    <w:rsid w:val="00B50ABF"/>
    <w:rsid w:val="00B5327B"/>
    <w:rsid w:val="00B53493"/>
    <w:rsid w:val="00B55794"/>
    <w:rsid w:val="00B55D18"/>
    <w:rsid w:val="00B55FCB"/>
    <w:rsid w:val="00B5680E"/>
    <w:rsid w:val="00B56CC8"/>
    <w:rsid w:val="00B60544"/>
    <w:rsid w:val="00B65281"/>
    <w:rsid w:val="00B654F6"/>
    <w:rsid w:val="00B668FB"/>
    <w:rsid w:val="00B76B8E"/>
    <w:rsid w:val="00B77F92"/>
    <w:rsid w:val="00B829B3"/>
    <w:rsid w:val="00B902DF"/>
    <w:rsid w:val="00B93EA7"/>
    <w:rsid w:val="00B953E5"/>
    <w:rsid w:val="00BA45AE"/>
    <w:rsid w:val="00BA4F4A"/>
    <w:rsid w:val="00BA65C8"/>
    <w:rsid w:val="00BA66AD"/>
    <w:rsid w:val="00BA780E"/>
    <w:rsid w:val="00BB0C3A"/>
    <w:rsid w:val="00BB78AD"/>
    <w:rsid w:val="00BC2DD3"/>
    <w:rsid w:val="00BC67B1"/>
    <w:rsid w:val="00BD7CF3"/>
    <w:rsid w:val="00BD7D66"/>
    <w:rsid w:val="00BE16D4"/>
    <w:rsid w:val="00BE18DA"/>
    <w:rsid w:val="00BE424C"/>
    <w:rsid w:val="00BF07C2"/>
    <w:rsid w:val="00BF2C53"/>
    <w:rsid w:val="00BF3972"/>
    <w:rsid w:val="00BF52A7"/>
    <w:rsid w:val="00BF5933"/>
    <w:rsid w:val="00C000C3"/>
    <w:rsid w:val="00C00B51"/>
    <w:rsid w:val="00C02E60"/>
    <w:rsid w:val="00C07613"/>
    <w:rsid w:val="00C10095"/>
    <w:rsid w:val="00C174E3"/>
    <w:rsid w:val="00C240FD"/>
    <w:rsid w:val="00C24374"/>
    <w:rsid w:val="00C27DD7"/>
    <w:rsid w:val="00C302EF"/>
    <w:rsid w:val="00C4004E"/>
    <w:rsid w:val="00C5030E"/>
    <w:rsid w:val="00C56BB2"/>
    <w:rsid w:val="00C641DC"/>
    <w:rsid w:val="00C745D4"/>
    <w:rsid w:val="00C74C53"/>
    <w:rsid w:val="00C8018B"/>
    <w:rsid w:val="00C8592B"/>
    <w:rsid w:val="00C860C7"/>
    <w:rsid w:val="00C90D1D"/>
    <w:rsid w:val="00C91157"/>
    <w:rsid w:val="00C9316E"/>
    <w:rsid w:val="00C941F0"/>
    <w:rsid w:val="00C97431"/>
    <w:rsid w:val="00CA15AC"/>
    <w:rsid w:val="00CA17BA"/>
    <w:rsid w:val="00CA2ECA"/>
    <w:rsid w:val="00CA6A47"/>
    <w:rsid w:val="00CB3288"/>
    <w:rsid w:val="00CB377F"/>
    <w:rsid w:val="00CB5A23"/>
    <w:rsid w:val="00CC1E41"/>
    <w:rsid w:val="00CC3A7A"/>
    <w:rsid w:val="00CC3BEE"/>
    <w:rsid w:val="00CD274F"/>
    <w:rsid w:val="00CD2C30"/>
    <w:rsid w:val="00CD4164"/>
    <w:rsid w:val="00CD4A22"/>
    <w:rsid w:val="00CD62D7"/>
    <w:rsid w:val="00CE38CD"/>
    <w:rsid w:val="00CE7581"/>
    <w:rsid w:val="00CF049D"/>
    <w:rsid w:val="00D00835"/>
    <w:rsid w:val="00D022E5"/>
    <w:rsid w:val="00D03208"/>
    <w:rsid w:val="00D04CF3"/>
    <w:rsid w:val="00D06D82"/>
    <w:rsid w:val="00D141E1"/>
    <w:rsid w:val="00D21682"/>
    <w:rsid w:val="00D2203B"/>
    <w:rsid w:val="00D241D3"/>
    <w:rsid w:val="00D24A90"/>
    <w:rsid w:val="00D253E1"/>
    <w:rsid w:val="00D27FA8"/>
    <w:rsid w:val="00D3200F"/>
    <w:rsid w:val="00D365D3"/>
    <w:rsid w:val="00D42F7B"/>
    <w:rsid w:val="00D50032"/>
    <w:rsid w:val="00D55089"/>
    <w:rsid w:val="00D56210"/>
    <w:rsid w:val="00D627E1"/>
    <w:rsid w:val="00D62A08"/>
    <w:rsid w:val="00D63051"/>
    <w:rsid w:val="00D63C7A"/>
    <w:rsid w:val="00D65684"/>
    <w:rsid w:val="00D742DD"/>
    <w:rsid w:val="00D80B88"/>
    <w:rsid w:val="00D80E55"/>
    <w:rsid w:val="00D81537"/>
    <w:rsid w:val="00D81AB9"/>
    <w:rsid w:val="00D83394"/>
    <w:rsid w:val="00D95D2E"/>
    <w:rsid w:val="00D960AC"/>
    <w:rsid w:val="00D97850"/>
    <w:rsid w:val="00DA60A4"/>
    <w:rsid w:val="00DA76FA"/>
    <w:rsid w:val="00DB2B49"/>
    <w:rsid w:val="00DB37F4"/>
    <w:rsid w:val="00DB4551"/>
    <w:rsid w:val="00DC1296"/>
    <w:rsid w:val="00DC28FE"/>
    <w:rsid w:val="00DC290C"/>
    <w:rsid w:val="00DC33B4"/>
    <w:rsid w:val="00DC5165"/>
    <w:rsid w:val="00DD0620"/>
    <w:rsid w:val="00DD2003"/>
    <w:rsid w:val="00DD239B"/>
    <w:rsid w:val="00DD4656"/>
    <w:rsid w:val="00DD56F3"/>
    <w:rsid w:val="00DE2D97"/>
    <w:rsid w:val="00DF01DF"/>
    <w:rsid w:val="00DF0684"/>
    <w:rsid w:val="00DF447D"/>
    <w:rsid w:val="00DF4D10"/>
    <w:rsid w:val="00DF6E03"/>
    <w:rsid w:val="00E018FB"/>
    <w:rsid w:val="00E135C8"/>
    <w:rsid w:val="00E21DC0"/>
    <w:rsid w:val="00E2447B"/>
    <w:rsid w:val="00E34929"/>
    <w:rsid w:val="00E4035B"/>
    <w:rsid w:val="00E6239D"/>
    <w:rsid w:val="00E654FD"/>
    <w:rsid w:val="00E6730E"/>
    <w:rsid w:val="00E67395"/>
    <w:rsid w:val="00E6763B"/>
    <w:rsid w:val="00E7058D"/>
    <w:rsid w:val="00E7096B"/>
    <w:rsid w:val="00E70DFB"/>
    <w:rsid w:val="00E7296B"/>
    <w:rsid w:val="00E75CE6"/>
    <w:rsid w:val="00E81321"/>
    <w:rsid w:val="00E87F7C"/>
    <w:rsid w:val="00E94ECA"/>
    <w:rsid w:val="00E95A03"/>
    <w:rsid w:val="00EA7C29"/>
    <w:rsid w:val="00EB0E3E"/>
    <w:rsid w:val="00EB58BD"/>
    <w:rsid w:val="00EB63DD"/>
    <w:rsid w:val="00EC0FFC"/>
    <w:rsid w:val="00EC1CCE"/>
    <w:rsid w:val="00EC2A33"/>
    <w:rsid w:val="00EC3B08"/>
    <w:rsid w:val="00EC7184"/>
    <w:rsid w:val="00ED2E33"/>
    <w:rsid w:val="00ED3024"/>
    <w:rsid w:val="00ED5C7B"/>
    <w:rsid w:val="00ED71B6"/>
    <w:rsid w:val="00ED7753"/>
    <w:rsid w:val="00ED7B96"/>
    <w:rsid w:val="00EE5474"/>
    <w:rsid w:val="00EF07C9"/>
    <w:rsid w:val="00EF0E10"/>
    <w:rsid w:val="00EF2076"/>
    <w:rsid w:val="00EF2AFB"/>
    <w:rsid w:val="00EF3734"/>
    <w:rsid w:val="00EF5EEB"/>
    <w:rsid w:val="00F116A7"/>
    <w:rsid w:val="00F1768E"/>
    <w:rsid w:val="00F20DDC"/>
    <w:rsid w:val="00F2397F"/>
    <w:rsid w:val="00F3393D"/>
    <w:rsid w:val="00F33D5C"/>
    <w:rsid w:val="00F3402F"/>
    <w:rsid w:val="00F3416A"/>
    <w:rsid w:val="00F35001"/>
    <w:rsid w:val="00F352D9"/>
    <w:rsid w:val="00F35FE2"/>
    <w:rsid w:val="00F431FB"/>
    <w:rsid w:val="00F434BE"/>
    <w:rsid w:val="00F51040"/>
    <w:rsid w:val="00F53ACB"/>
    <w:rsid w:val="00F5777D"/>
    <w:rsid w:val="00F60E46"/>
    <w:rsid w:val="00F6184E"/>
    <w:rsid w:val="00F62EF0"/>
    <w:rsid w:val="00F671FA"/>
    <w:rsid w:val="00F74326"/>
    <w:rsid w:val="00F7794A"/>
    <w:rsid w:val="00F8007E"/>
    <w:rsid w:val="00F81C8A"/>
    <w:rsid w:val="00F837B1"/>
    <w:rsid w:val="00F84805"/>
    <w:rsid w:val="00F86F6D"/>
    <w:rsid w:val="00F9006B"/>
    <w:rsid w:val="00F91135"/>
    <w:rsid w:val="00F94D8D"/>
    <w:rsid w:val="00FA0F58"/>
    <w:rsid w:val="00FA1E5D"/>
    <w:rsid w:val="00FA26CF"/>
    <w:rsid w:val="00FA2B02"/>
    <w:rsid w:val="00FA4E31"/>
    <w:rsid w:val="00FA7C19"/>
    <w:rsid w:val="00FB1115"/>
    <w:rsid w:val="00FB4AE4"/>
    <w:rsid w:val="00FC0A10"/>
    <w:rsid w:val="00FC454F"/>
    <w:rsid w:val="00FC55CB"/>
    <w:rsid w:val="00FC5626"/>
    <w:rsid w:val="00FC7933"/>
    <w:rsid w:val="00FD1C01"/>
    <w:rsid w:val="00FD624F"/>
    <w:rsid w:val="00FE3269"/>
    <w:rsid w:val="00FE4D0B"/>
    <w:rsid w:val="00FE5306"/>
    <w:rsid w:val="00FE5512"/>
    <w:rsid w:val="00FE59EC"/>
    <w:rsid w:val="00FE5F4E"/>
    <w:rsid w:val="00FE6D20"/>
    <w:rsid w:val="00FE7A02"/>
    <w:rsid w:val="00FF11B5"/>
    <w:rsid w:val="00FF5462"/>
    <w:rsid w:val="00FF5FFF"/>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4E02EF3"/>
  <w15:chartTrackingRefBased/>
  <w15:docId w15:val="{C3E77C36-DF4B-49AD-9ED6-214DD85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8"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0"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4" w:unhideWhenUsed="1" w:qFormat="1"/>
    <w:lsdException w:name="List Number 3" w:semiHidden="1" w:uiPriority="4" w:unhideWhenUsed="1" w:qFormat="1"/>
    <w:lsdException w:name="List Number 4" w:semiHidden="1" w:uiPriority="19" w:unhideWhenUsed="1"/>
    <w:lsdException w:name="List Number 5" w:semiHidden="1" w:uiPriority="19" w:unhideWhenUsed="1"/>
    <w:lsdException w:name="Title" w:uiPriority="9"/>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22C3"/>
    <w:pPr>
      <w:spacing w:before="0" w:after="0"/>
    </w:pPr>
    <w:rPr>
      <w:sz w:val="20"/>
    </w:rPr>
  </w:style>
  <w:style w:type="paragraph" w:styleId="Heading1">
    <w:name w:val="heading 1"/>
    <w:basedOn w:val="Normal"/>
    <w:next w:val="BodyText"/>
    <w:link w:val="Heading1Char"/>
    <w:qFormat/>
    <w:rsid w:val="001A531B"/>
    <w:pPr>
      <w:keepNext/>
      <w:keepLines/>
      <w:pageBreakBefore/>
      <w:widowControl w:val="0"/>
      <w:numPr>
        <w:numId w:val="17"/>
      </w:numPr>
      <w:spacing w:before="720" w:after="240"/>
      <w:outlineLvl w:val="0"/>
    </w:pPr>
    <w:rPr>
      <w:rFonts w:asciiTheme="majorHAnsi" w:eastAsia="Times New Roman" w:hAnsiTheme="majorHAnsi" w:cs="Arial"/>
      <w:b/>
      <w:bCs/>
      <w:color w:val="41A62A" w:themeColor="accent1"/>
      <w:sz w:val="52"/>
      <w:szCs w:val="32"/>
      <w:lang w:eastAsia="en-AU"/>
    </w:rPr>
  </w:style>
  <w:style w:type="paragraph" w:styleId="Heading2">
    <w:name w:val="heading 2"/>
    <w:basedOn w:val="Normal"/>
    <w:next w:val="BodyText"/>
    <w:link w:val="Heading2Char"/>
    <w:qFormat/>
    <w:rsid w:val="001F15CE"/>
    <w:pPr>
      <w:keepNext/>
      <w:keepLines/>
      <w:numPr>
        <w:ilvl w:val="1"/>
        <w:numId w:val="17"/>
      </w:numPr>
      <w:spacing w:before="320" w:after="240"/>
      <w:outlineLvl w:val="1"/>
    </w:pPr>
    <w:rPr>
      <w:rFonts w:asciiTheme="majorHAnsi" w:eastAsia="Times New Roman" w:hAnsiTheme="majorHAnsi" w:cs="Arial"/>
      <w:b/>
      <w:bCs/>
      <w:iCs/>
      <w:color w:val="4E4E50" w:themeColor="accent2"/>
      <w:sz w:val="36"/>
      <w:szCs w:val="28"/>
      <w:lang w:eastAsia="en-AU"/>
    </w:rPr>
  </w:style>
  <w:style w:type="paragraph" w:styleId="Heading3">
    <w:name w:val="heading 3"/>
    <w:basedOn w:val="Normal"/>
    <w:next w:val="BodyText"/>
    <w:link w:val="Heading3Char"/>
    <w:qFormat/>
    <w:rsid w:val="001F15CE"/>
    <w:pPr>
      <w:keepNext/>
      <w:keepLines/>
      <w:numPr>
        <w:ilvl w:val="2"/>
        <w:numId w:val="17"/>
      </w:numPr>
      <w:spacing w:before="320" w:after="240"/>
      <w:outlineLvl w:val="2"/>
    </w:pPr>
    <w:rPr>
      <w:rFonts w:asciiTheme="majorHAnsi" w:eastAsia="Times New Roman" w:hAnsiTheme="majorHAnsi" w:cs="Times New Roman"/>
      <w:b/>
      <w:bCs/>
      <w:color w:val="4E4E50" w:themeColor="accent2"/>
      <w:sz w:val="30"/>
      <w:szCs w:val="24"/>
      <w:lang w:eastAsia="en-AU"/>
    </w:rPr>
  </w:style>
  <w:style w:type="paragraph" w:styleId="Heading4">
    <w:name w:val="heading 4"/>
    <w:basedOn w:val="Normal"/>
    <w:next w:val="BodyText"/>
    <w:link w:val="Heading4Char"/>
    <w:qFormat/>
    <w:rsid w:val="001A531B"/>
    <w:pPr>
      <w:keepNext/>
      <w:keepLines/>
      <w:spacing w:before="240" w:after="120"/>
      <w:outlineLvl w:val="3"/>
    </w:pPr>
    <w:rPr>
      <w:rFonts w:asciiTheme="majorHAnsi" w:eastAsia="Times New Roman" w:hAnsiTheme="majorHAnsi" w:cs="Times New Roman"/>
      <w:b/>
      <w:bCs/>
      <w:color w:val="41A62A" w:themeColor="accent1"/>
      <w:sz w:val="26"/>
      <w:lang w:eastAsia="en-AU"/>
    </w:rPr>
  </w:style>
  <w:style w:type="paragraph" w:styleId="Heading5">
    <w:name w:val="heading 5"/>
    <w:basedOn w:val="Normal"/>
    <w:next w:val="BodyText"/>
    <w:link w:val="Heading5Char"/>
    <w:qFormat/>
    <w:rsid w:val="00FC7933"/>
    <w:pPr>
      <w:keepNext/>
      <w:keepLines/>
      <w:spacing w:before="240" w:after="120"/>
      <w:outlineLvl w:val="4"/>
    </w:pPr>
    <w:rPr>
      <w:rFonts w:asciiTheme="majorHAnsi" w:eastAsia="Times New Roman" w:hAnsiTheme="majorHAnsi" w:cs="Times New Roman"/>
      <w:b/>
      <w:bCs/>
      <w:iCs/>
      <w:color w:val="4E4E50" w:themeColor="accent2"/>
      <w:sz w:val="22"/>
      <w:szCs w:val="26"/>
      <w:lang w:eastAsia="en-AU"/>
    </w:rPr>
  </w:style>
  <w:style w:type="paragraph" w:styleId="Heading6">
    <w:name w:val="heading 6"/>
    <w:basedOn w:val="Normal"/>
    <w:next w:val="Normal"/>
    <w:link w:val="Heading6Char"/>
    <w:qFormat/>
    <w:rsid w:val="00FC7933"/>
    <w:pPr>
      <w:keepNext/>
      <w:keepLines/>
      <w:spacing w:before="120" w:after="120"/>
      <w:outlineLvl w:val="5"/>
    </w:pPr>
    <w:rPr>
      <w:rFonts w:eastAsia="Times New Roman" w:cs="Times New Roman"/>
      <w:b/>
      <w:bCs/>
      <w:color w:val="A7A9AC"/>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5BE5"/>
    <w:pPr>
      <w:spacing w:before="120" w:after="120" w:line="260" w:lineRule="atLeast"/>
    </w:pPr>
    <w:rPr>
      <w:rFonts w:eastAsia="Times New Roman" w:cs="Times New Roman"/>
      <w:color w:val="4E4E50" w:themeColor="text2"/>
      <w:szCs w:val="24"/>
      <w:lang w:eastAsia="en-AU"/>
    </w:rPr>
  </w:style>
  <w:style w:type="character" w:customStyle="1" w:styleId="BodyTextChar">
    <w:name w:val="Body Text Char"/>
    <w:basedOn w:val="DefaultParagraphFont"/>
    <w:link w:val="BodyText"/>
    <w:rsid w:val="00123C94"/>
    <w:rPr>
      <w:rFonts w:eastAsia="Times New Roman" w:cs="Times New Roman"/>
      <w:color w:val="4E4E50" w:themeColor="text2"/>
      <w:sz w:val="20"/>
      <w:szCs w:val="24"/>
      <w:lang w:eastAsia="en-AU"/>
    </w:rPr>
  </w:style>
  <w:style w:type="character" w:customStyle="1" w:styleId="Heading1Char">
    <w:name w:val="Heading 1 Char"/>
    <w:basedOn w:val="DefaultParagraphFont"/>
    <w:link w:val="Heading1"/>
    <w:rsid w:val="001A531B"/>
    <w:rPr>
      <w:rFonts w:asciiTheme="majorHAnsi" w:eastAsia="Times New Roman" w:hAnsiTheme="majorHAnsi" w:cs="Arial"/>
      <w:b/>
      <w:bCs/>
      <w:color w:val="41A62A" w:themeColor="accent1"/>
      <w:sz w:val="52"/>
      <w:szCs w:val="32"/>
      <w:lang w:eastAsia="en-AU"/>
    </w:rPr>
  </w:style>
  <w:style w:type="character" w:customStyle="1" w:styleId="Heading2Char">
    <w:name w:val="Heading 2 Char"/>
    <w:basedOn w:val="DefaultParagraphFont"/>
    <w:link w:val="Heading2"/>
    <w:rsid w:val="00FC7933"/>
    <w:rPr>
      <w:rFonts w:asciiTheme="majorHAnsi" w:eastAsia="Times New Roman" w:hAnsiTheme="majorHAnsi" w:cs="Arial"/>
      <w:b/>
      <w:bCs/>
      <w:iCs/>
      <w:color w:val="4E4E50" w:themeColor="accent2"/>
      <w:sz w:val="36"/>
      <w:szCs w:val="28"/>
      <w:lang w:eastAsia="en-AU"/>
    </w:rPr>
  </w:style>
  <w:style w:type="character" w:customStyle="1" w:styleId="Heading3Char">
    <w:name w:val="Heading 3 Char"/>
    <w:basedOn w:val="DefaultParagraphFont"/>
    <w:link w:val="Heading3"/>
    <w:rsid w:val="00FC7933"/>
    <w:rPr>
      <w:rFonts w:asciiTheme="majorHAnsi" w:eastAsia="Times New Roman" w:hAnsiTheme="majorHAnsi" w:cs="Times New Roman"/>
      <w:b/>
      <w:bCs/>
      <w:color w:val="4E4E50" w:themeColor="accent2"/>
      <w:sz w:val="30"/>
      <w:szCs w:val="24"/>
      <w:lang w:eastAsia="en-AU"/>
    </w:rPr>
  </w:style>
  <w:style w:type="character" w:customStyle="1" w:styleId="Heading4Char">
    <w:name w:val="Heading 4 Char"/>
    <w:basedOn w:val="DefaultParagraphFont"/>
    <w:link w:val="Heading4"/>
    <w:rsid w:val="00FC7933"/>
    <w:rPr>
      <w:rFonts w:asciiTheme="majorHAnsi" w:eastAsia="Times New Roman" w:hAnsiTheme="majorHAnsi" w:cs="Times New Roman"/>
      <w:b/>
      <w:bCs/>
      <w:color w:val="41A62A" w:themeColor="accent1"/>
      <w:sz w:val="26"/>
      <w:lang w:eastAsia="en-AU"/>
    </w:rPr>
  </w:style>
  <w:style w:type="paragraph" w:customStyle="1" w:styleId="AltHeading1">
    <w:name w:val="Alt Heading 1"/>
    <w:basedOn w:val="Heading1"/>
    <w:next w:val="BodyText"/>
    <w:uiPriority w:val="9"/>
    <w:qFormat/>
    <w:rsid w:val="00FC7933"/>
    <w:pPr>
      <w:numPr>
        <w:numId w:val="0"/>
      </w:numPr>
    </w:pPr>
    <w:rPr>
      <w:bCs w:val="0"/>
    </w:rPr>
  </w:style>
  <w:style w:type="paragraph" w:customStyle="1" w:styleId="AltHeading2">
    <w:name w:val="Alt Heading 2"/>
    <w:basedOn w:val="Heading2"/>
    <w:next w:val="BodyText"/>
    <w:uiPriority w:val="9"/>
    <w:qFormat/>
    <w:rsid w:val="00FC7933"/>
    <w:pPr>
      <w:numPr>
        <w:ilvl w:val="0"/>
        <w:numId w:val="0"/>
      </w:numPr>
    </w:pPr>
  </w:style>
  <w:style w:type="paragraph" w:customStyle="1" w:styleId="AltHeading3">
    <w:name w:val="Alt Heading 3"/>
    <w:basedOn w:val="Heading3"/>
    <w:next w:val="BodyText"/>
    <w:uiPriority w:val="9"/>
    <w:qFormat/>
    <w:rsid w:val="00FC7933"/>
    <w:pPr>
      <w:numPr>
        <w:ilvl w:val="0"/>
        <w:numId w:val="0"/>
      </w:numPr>
    </w:pPr>
  </w:style>
  <w:style w:type="paragraph" w:styleId="Title">
    <w:name w:val="Title"/>
    <w:basedOn w:val="Normal"/>
    <w:next w:val="BodyText"/>
    <w:link w:val="TitleChar"/>
    <w:uiPriority w:val="9"/>
    <w:rsid w:val="00877C46"/>
    <w:pPr>
      <w:framePr w:hSpace="181" w:wrap="around" w:hAnchor="margin" w:yAlign="bottom"/>
      <w:spacing w:before="120" w:after="120" w:line="216" w:lineRule="auto"/>
      <w:suppressOverlap/>
    </w:pPr>
    <w:rPr>
      <w:rFonts w:asciiTheme="majorHAnsi" w:eastAsiaTheme="majorEastAsia" w:hAnsiTheme="majorHAnsi" w:cstheme="majorBidi"/>
      <w:b/>
      <w:color w:val="4E4E50" w:themeColor="accent2"/>
      <w:sz w:val="50"/>
      <w:szCs w:val="52"/>
    </w:rPr>
  </w:style>
  <w:style w:type="character" w:customStyle="1" w:styleId="TitleChar">
    <w:name w:val="Title Char"/>
    <w:basedOn w:val="DefaultParagraphFont"/>
    <w:link w:val="Title"/>
    <w:uiPriority w:val="9"/>
    <w:rsid w:val="00877C46"/>
    <w:rPr>
      <w:rFonts w:asciiTheme="majorHAnsi" w:eastAsiaTheme="majorEastAsia" w:hAnsiTheme="majorHAnsi" w:cstheme="majorBidi"/>
      <w:b/>
      <w:color w:val="4E4E50" w:themeColor="accent2"/>
      <w:sz w:val="50"/>
      <w:szCs w:val="52"/>
    </w:rPr>
  </w:style>
  <w:style w:type="paragraph" w:styleId="Subtitle">
    <w:name w:val="Subtitle"/>
    <w:basedOn w:val="Normal"/>
    <w:next w:val="BodyText"/>
    <w:link w:val="SubtitleChar"/>
    <w:uiPriority w:val="10"/>
    <w:rsid w:val="00877C46"/>
    <w:pPr>
      <w:numPr>
        <w:ilvl w:val="1"/>
      </w:numPr>
      <w:spacing w:before="240" w:after="240"/>
    </w:pPr>
    <w:rPr>
      <w:rFonts w:asciiTheme="majorHAnsi" w:eastAsiaTheme="majorEastAsia" w:hAnsiTheme="majorHAnsi" w:cstheme="majorBidi"/>
      <w:iCs/>
      <w:color w:val="4E4E50" w:themeColor="accent2"/>
      <w:sz w:val="28"/>
      <w:szCs w:val="24"/>
    </w:rPr>
  </w:style>
  <w:style w:type="character" w:customStyle="1" w:styleId="SubtitleChar">
    <w:name w:val="Subtitle Char"/>
    <w:basedOn w:val="DefaultParagraphFont"/>
    <w:link w:val="Subtitle"/>
    <w:uiPriority w:val="10"/>
    <w:rsid w:val="00877C46"/>
    <w:rPr>
      <w:rFonts w:asciiTheme="majorHAnsi" w:eastAsiaTheme="majorEastAsia" w:hAnsiTheme="majorHAnsi" w:cstheme="majorBidi"/>
      <w:iCs/>
      <w:color w:val="4E4E50"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125BE5"/>
    <w:pPr>
      <w:pBdr>
        <w:bottom w:val="single" w:sz="4" w:space="3" w:color="4E4E50" w:themeColor="accent2"/>
      </w:pBdr>
    </w:pPr>
    <w:rPr>
      <w:caps/>
      <w:color w:val="41A62A" w:themeColor="accent1"/>
      <w:sz w:val="18"/>
    </w:rPr>
  </w:style>
  <w:style w:type="character" w:customStyle="1" w:styleId="HeaderChar">
    <w:name w:val="Header Char"/>
    <w:basedOn w:val="DefaultParagraphFont"/>
    <w:link w:val="Header"/>
    <w:uiPriority w:val="99"/>
    <w:rsid w:val="00125BE5"/>
    <w:rPr>
      <w:caps/>
      <w:color w:val="41A62A" w:themeColor="accent1"/>
      <w:sz w:val="18"/>
    </w:rPr>
  </w:style>
  <w:style w:type="paragraph" w:styleId="Footer">
    <w:name w:val="footer"/>
    <w:basedOn w:val="Normal"/>
    <w:link w:val="FooterChar"/>
    <w:uiPriority w:val="99"/>
    <w:rsid w:val="00125BE5"/>
    <w:pPr>
      <w:tabs>
        <w:tab w:val="right" w:pos="9639"/>
      </w:tabs>
      <w:spacing w:before="60"/>
    </w:pPr>
    <w:rPr>
      <w:color w:val="4E4E50" w:themeColor="text2"/>
      <w:sz w:val="18"/>
    </w:rPr>
  </w:style>
  <w:style w:type="character" w:customStyle="1" w:styleId="FooterChar">
    <w:name w:val="Footer Char"/>
    <w:basedOn w:val="DefaultParagraphFont"/>
    <w:link w:val="Footer"/>
    <w:uiPriority w:val="99"/>
    <w:rsid w:val="00125BE5"/>
    <w:rPr>
      <w:color w:val="4E4E50" w:themeColor="text2"/>
      <w:sz w:val="18"/>
    </w:rPr>
  </w:style>
  <w:style w:type="paragraph" w:styleId="ListNumber0">
    <w:name w:val="List Number"/>
    <w:basedOn w:val="BodyText"/>
    <w:uiPriority w:val="2"/>
    <w:qFormat/>
    <w:rsid w:val="00D00835"/>
    <w:pPr>
      <w:numPr>
        <w:numId w:val="10"/>
      </w:numPr>
    </w:pPr>
  </w:style>
  <w:style w:type="paragraph" w:styleId="ListBullet0">
    <w:name w:val="List Bullet"/>
    <w:basedOn w:val="BodyText"/>
    <w:uiPriority w:val="1"/>
    <w:qFormat/>
    <w:rsid w:val="000A0F7A"/>
    <w:pPr>
      <w:numPr>
        <w:numId w:val="11"/>
      </w:numPr>
    </w:pPr>
  </w:style>
  <w:style w:type="paragraph" w:styleId="TOCHeading">
    <w:name w:val="TOC Heading"/>
    <w:basedOn w:val="Heading1"/>
    <w:next w:val="Normal"/>
    <w:uiPriority w:val="39"/>
    <w:rsid w:val="00123C94"/>
    <w:pPr>
      <w:numPr>
        <w:numId w:val="0"/>
      </w:numPr>
      <w:spacing w:before="0" w:after="600"/>
    </w:pPr>
    <w:rPr>
      <w:sz w:val="67"/>
    </w:rPr>
  </w:style>
  <w:style w:type="character" w:styleId="Hyperlink">
    <w:name w:val="Hyperlink"/>
    <w:basedOn w:val="DefaultParagraphFont"/>
    <w:uiPriority w:val="99"/>
    <w:rsid w:val="004709CC"/>
    <w:rPr>
      <w:color w:val="41A62A" w:themeColor="accent1"/>
      <w:u w:val="single"/>
    </w:rPr>
  </w:style>
  <w:style w:type="paragraph" w:styleId="TOC1">
    <w:name w:val="toc 1"/>
    <w:basedOn w:val="Normal"/>
    <w:next w:val="Normal"/>
    <w:uiPriority w:val="39"/>
    <w:rsid w:val="00123C94"/>
    <w:pPr>
      <w:keepNext/>
      <w:tabs>
        <w:tab w:val="right" w:pos="8222"/>
      </w:tabs>
      <w:spacing w:before="240" w:after="60"/>
      <w:ind w:right="1871"/>
    </w:pPr>
    <w:rPr>
      <w:b/>
      <w:caps/>
      <w:color w:val="41A62A" w:themeColor="accent1"/>
      <w:sz w:val="19"/>
      <w:lang w:eastAsia="en-AU"/>
    </w:rPr>
  </w:style>
  <w:style w:type="paragraph" w:styleId="TOC2">
    <w:name w:val="toc 2"/>
    <w:basedOn w:val="Normal"/>
    <w:next w:val="Normal"/>
    <w:uiPriority w:val="39"/>
    <w:rsid w:val="00123C94"/>
    <w:pPr>
      <w:tabs>
        <w:tab w:val="right" w:pos="8222"/>
      </w:tabs>
      <w:spacing w:before="80" w:after="80"/>
    </w:pPr>
    <w:rPr>
      <w:color w:val="4E4E50" w:themeColor="accent2"/>
      <w:sz w:val="19"/>
    </w:rPr>
  </w:style>
  <w:style w:type="paragraph" w:styleId="TOC3">
    <w:name w:val="toc 3"/>
    <w:basedOn w:val="Normal"/>
    <w:next w:val="Normal"/>
    <w:uiPriority w:val="39"/>
    <w:rsid w:val="00123C94"/>
    <w:pPr>
      <w:tabs>
        <w:tab w:val="right" w:pos="8222"/>
      </w:tabs>
      <w:spacing w:before="80" w:after="80"/>
    </w:pPr>
    <w:rPr>
      <w:color w:val="4E4E50" w:themeColor="accent2"/>
      <w:sz w:val="19"/>
    </w:rPr>
  </w:style>
  <w:style w:type="table" w:styleId="TableGrid">
    <w:name w:val="Table Grid"/>
    <w:basedOn w:val="TableNormal"/>
    <w:uiPriority w:val="59"/>
    <w:rsid w:val="001318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left w:w="0" w:type="dxa"/>
        <w:right w:w="0" w:type="dxa"/>
      </w:tcMar>
    </w:tcPr>
  </w:style>
  <w:style w:type="table" w:customStyle="1" w:styleId="GreenLinedTable">
    <w:name w:val="Green Lined Table"/>
    <w:basedOn w:val="TableGrid"/>
    <w:uiPriority w:val="99"/>
    <w:rsid w:val="00F9006B"/>
    <w:tblPr>
      <w:tblStyleRowBandSize w:val="1"/>
      <w:tblStyleColBandSize w:val="1"/>
      <w:tblBorders>
        <w:top w:val="single" w:sz="4" w:space="0" w:color="4E4E50" w:themeColor="accent2"/>
        <w:left w:val="none" w:sz="0" w:space="0" w:color="auto"/>
        <w:bottom w:val="single" w:sz="4" w:space="0" w:color="4E4E50" w:themeColor="accent2"/>
        <w:right w:val="none" w:sz="0" w:space="0" w:color="auto"/>
        <w:insideH w:val="single" w:sz="4" w:space="0" w:color="4E4E50" w:themeColor="accent2"/>
        <w:insideV w:val="none" w:sz="0" w:space="0" w:color="auto"/>
      </w:tblBorders>
    </w:tblPr>
    <w:tblStylePr w:type="firstRow">
      <w:rPr>
        <w:color w:val="4E4E50" w:themeColor="accent2"/>
      </w:rPr>
      <w:tblPr/>
      <w:tcPr>
        <w:tcBorders>
          <w:top w:val="nil"/>
          <w:left w:val="nil"/>
          <w:bottom w:val="nil"/>
          <w:right w:val="nil"/>
          <w:insideH w:val="nil"/>
          <w:insideV w:val="nil"/>
          <w:tl2br w:val="nil"/>
          <w:tr2bl w:val="nil"/>
        </w:tcBorders>
        <w:shd w:val="clear" w:color="auto" w:fill="B3DBAA" w:themeFill="accent3"/>
      </w:tcPr>
    </w:tblStylePr>
    <w:tblStylePr w:type="lastRow">
      <w:rPr>
        <w:b/>
      </w:rPr>
      <w:tblPr/>
      <w:tcPr>
        <w:shd w:val="clear" w:color="auto" w:fill="F2F2F2" w:themeFill="background1" w:themeFillShade="F2"/>
      </w:tcPr>
    </w:tblStylePr>
    <w:tblStylePr w:type="firstCol">
      <w:rPr>
        <w:color w:val="4E4E50" w:themeColor="accent2"/>
      </w:rPr>
      <w:tblPr/>
      <w:tcPr>
        <w:tcBorders>
          <w:insideH w:val="single" w:sz="4" w:space="0" w:color="4E4E50" w:themeColor="accent2"/>
        </w:tcBorders>
        <w:shd w:val="clear" w:color="auto" w:fill="B3DBAA" w:themeFill="accent3"/>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link w:val="TableTextChar"/>
    <w:uiPriority w:val="3"/>
    <w:qFormat/>
    <w:rsid w:val="00125BE5"/>
    <w:pPr>
      <w:spacing w:before="80" w:after="80"/>
      <w:ind w:left="113" w:right="113"/>
    </w:pPr>
    <w:rPr>
      <w:color w:val="4E4E50" w:themeColor="text2"/>
    </w:rPr>
  </w:style>
  <w:style w:type="paragraph" w:customStyle="1" w:styleId="TableBullet">
    <w:name w:val="Table Bullet"/>
    <w:basedOn w:val="TableText"/>
    <w:uiPriority w:val="4"/>
    <w:qFormat/>
    <w:rsid w:val="00DC5165"/>
    <w:pPr>
      <w:numPr>
        <w:numId w:val="12"/>
      </w:numPr>
    </w:pPr>
    <w:rPr>
      <w:rFonts w:eastAsia="Times New Roman" w:cs="Times New Roman"/>
      <w:szCs w:val="24"/>
      <w:lang w:eastAsia="en-AU"/>
    </w:rPr>
  </w:style>
  <w:style w:type="paragraph" w:customStyle="1" w:styleId="TableNumber">
    <w:name w:val="Table Number"/>
    <w:basedOn w:val="TableText"/>
    <w:uiPriority w:val="4"/>
    <w:qFormat/>
    <w:rsid w:val="00DC5165"/>
    <w:pPr>
      <w:numPr>
        <w:numId w:val="13"/>
      </w:numPr>
    </w:pPr>
  </w:style>
  <w:style w:type="character" w:customStyle="1" w:styleId="Heading5Char">
    <w:name w:val="Heading 5 Char"/>
    <w:basedOn w:val="DefaultParagraphFont"/>
    <w:link w:val="Heading5"/>
    <w:rsid w:val="00FC7933"/>
    <w:rPr>
      <w:rFonts w:asciiTheme="majorHAnsi" w:eastAsia="Times New Roman" w:hAnsiTheme="majorHAnsi" w:cs="Times New Roman"/>
      <w:b/>
      <w:bCs/>
      <w:iCs/>
      <w:color w:val="4E4E50" w:themeColor="accent2"/>
      <w:szCs w:val="26"/>
      <w:lang w:eastAsia="en-AU"/>
    </w:rPr>
  </w:style>
  <w:style w:type="character" w:customStyle="1" w:styleId="Heading6Char">
    <w:name w:val="Heading 6 Char"/>
    <w:basedOn w:val="DefaultParagraphFont"/>
    <w:link w:val="Heading6"/>
    <w:rsid w:val="00FC7933"/>
    <w:rPr>
      <w:rFonts w:eastAsia="Times New Roman" w:cs="Times New Roman"/>
      <w:b/>
      <w:bCs/>
      <w:color w:val="A7A9AC"/>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2"/>
    <w:qFormat/>
    <w:rsid w:val="00D00835"/>
    <w:pPr>
      <w:numPr>
        <w:numId w:val="8"/>
      </w:numPr>
    </w:pPr>
  </w:style>
  <w:style w:type="paragraph" w:styleId="TOC4">
    <w:name w:val="toc 4"/>
    <w:basedOn w:val="TOC1"/>
    <w:next w:val="Normal"/>
    <w:uiPriority w:val="39"/>
    <w:rsid w:val="00DF4D10"/>
    <w:pPr>
      <w:tabs>
        <w:tab w:val="left" w:pos="1134"/>
      </w:tabs>
      <w:ind w:left="1134" w:hanging="1134"/>
    </w:pPr>
  </w:style>
  <w:style w:type="table" w:customStyle="1" w:styleId="GreyShadedTable">
    <w:name w:val="Grey Shaded Table"/>
    <w:basedOn w:val="TableGrid"/>
    <w:uiPriority w:val="99"/>
    <w:rsid w:val="00F9006B"/>
    <w:pPr>
      <w:spacing w:before="0"/>
    </w:pPr>
    <w:tblPr>
      <w:tblStyleRowBandSize w:val="1"/>
      <w:tblStyleColBandSize w:val="1"/>
      <w:tblBorders>
        <w:top w:val="single" w:sz="4" w:space="0" w:color="41A62A" w:themeColor="accent1"/>
        <w:left w:val="none" w:sz="0" w:space="0" w:color="auto"/>
        <w:bottom w:val="single" w:sz="4" w:space="0" w:color="41A62A" w:themeColor="accent1"/>
        <w:right w:val="none" w:sz="0" w:space="0" w:color="auto"/>
        <w:insideH w:val="single" w:sz="4" w:space="0" w:color="41A62A" w:themeColor="accent1"/>
        <w:insideV w:val="none" w:sz="0" w:space="0" w:color="auto"/>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4E4E50" w:themeFill="accent2"/>
      </w:tcPr>
    </w:tblStylePr>
    <w:tblStylePr w:type="lastRow">
      <w:rPr>
        <w:color w:val="4E4E50" w:themeColor="accent2"/>
      </w:rPr>
      <w:tblPr/>
      <w:tcPr>
        <w:shd w:val="clear" w:color="auto" w:fill="F2F2F2" w:themeFill="background1" w:themeFillShade="F2"/>
      </w:tcPr>
    </w:tblStylePr>
    <w:tblStylePr w:type="firstCol">
      <w:rPr>
        <w:color w:val="4E4E50" w:themeColor="text2"/>
      </w:rPr>
      <w:tblPr/>
      <w:tcPr>
        <w:shd w:val="clear" w:color="auto" w:fill="F3F4F4"/>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GreenShadedTable">
    <w:name w:val="Green Shaded Table"/>
    <w:basedOn w:val="TableGrid"/>
    <w:uiPriority w:val="99"/>
    <w:rsid w:val="00F9006B"/>
    <w:pPr>
      <w:spacing w:before="0"/>
    </w:pPr>
    <w:tblPr>
      <w:tblStyleRowBandSize w:val="1"/>
      <w:tblStyleColBandSize w:val="1"/>
      <w:tblBorders>
        <w:top w:val="single" w:sz="4" w:space="0" w:color="4E4E50" w:themeColor="accent2"/>
        <w:left w:val="none" w:sz="0" w:space="0" w:color="auto"/>
        <w:bottom w:val="single" w:sz="4" w:space="0" w:color="4E4E50" w:themeColor="accent2"/>
        <w:right w:val="none" w:sz="0" w:space="0" w:color="auto"/>
        <w:insideH w:val="single" w:sz="4" w:space="0" w:color="4E4E50" w:themeColor="accent2"/>
        <w:insideV w:val="none" w:sz="0" w:space="0" w:color="auto"/>
      </w:tblBorders>
    </w:tblPr>
    <w:tcPr>
      <w:shd w:val="clear" w:color="auto" w:fill="auto"/>
    </w:tcPr>
    <w:tblStylePr w:type="firstRow">
      <w:rPr>
        <w:color w:val="4E4E50" w:themeColor="text2"/>
      </w:rPr>
      <w:tblPr/>
      <w:tcPr>
        <w:tcBorders>
          <w:top w:val="nil"/>
        </w:tcBorders>
        <w:shd w:val="clear" w:color="auto" w:fill="B3DBAA" w:themeFill="accent3"/>
      </w:tcPr>
    </w:tblStylePr>
    <w:tblStylePr w:type="lastRow">
      <w:rPr>
        <w:b/>
      </w:rPr>
      <w:tblPr/>
      <w:tcPr>
        <w:shd w:val="clear" w:color="auto" w:fill="F2F2F2" w:themeFill="background1" w:themeFillShade="F2"/>
      </w:tcPr>
    </w:tblStylePr>
    <w:tblStylePr w:type="firstCol">
      <w:tblPr/>
      <w:tcPr>
        <w:shd w:val="clear" w:color="auto" w:fill="F3F4F4"/>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DF0684"/>
    <w:rPr>
      <w:i/>
      <w:iCs/>
      <w:color w:val="000000" w:themeColor="text1"/>
      <w:sz w:val="20"/>
    </w:rPr>
  </w:style>
  <w:style w:type="table" w:customStyle="1" w:styleId="GreyLinedTable">
    <w:name w:val="Grey Lined Table"/>
    <w:basedOn w:val="TableGrid"/>
    <w:uiPriority w:val="99"/>
    <w:rsid w:val="00F9006B"/>
    <w:pPr>
      <w:spacing w:before="0"/>
    </w:pPr>
    <w:tblPr>
      <w:tblStyleRowBandSize w:val="1"/>
      <w:tblStyleColBandSize w:val="1"/>
      <w:tblBorders>
        <w:top w:val="single" w:sz="4" w:space="0" w:color="4E4E50" w:themeColor="accent2"/>
        <w:left w:val="none" w:sz="0" w:space="0" w:color="auto"/>
        <w:bottom w:val="single" w:sz="4" w:space="0" w:color="4E4E50" w:themeColor="accent2"/>
        <w:right w:val="none" w:sz="0" w:space="0" w:color="auto"/>
        <w:insideH w:val="single" w:sz="4" w:space="0" w:color="4E4E50" w:themeColor="accent2"/>
        <w:insideV w:val="none" w:sz="0" w:space="0" w:color="auto"/>
      </w:tblBorders>
    </w:tblPr>
    <w:tblStylePr w:type="firstRow">
      <w:rPr>
        <w:color w:val="FFFFFF" w:themeColor="background1"/>
      </w:rPr>
      <w:tblPr/>
      <w:tcPr>
        <w:shd w:val="clear" w:color="auto" w:fill="4E4E50" w:themeFill="accent2"/>
      </w:tcPr>
    </w:tblStylePr>
    <w:tblStylePr w:type="lastRow">
      <w:rPr>
        <w:b/>
        <w:color w:val="4E4E50" w:themeColor="accent2"/>
      </w:rPr>
      <w:tblPr/>
      <w:tcPr>
        <w:shd w:val="clear" w:color="auto" w:fill="F2F2F2" w:themeFill="background1" w:themeFillShade="F2"/>
      </w:tcPr>
    </w:tblStylePr>
    <w:tblStylePr w:type="firstCol">
      <w:rPr>
        <w:color w:val="FFFFFF" w:themeColor="background1"/>
      </w:rPr>
      <w:tblPr/>
      <w:tcPr>
        <w:tcBorders>
          <w:insideH w:val="single" w:sz="4" w:space="0" w:color="4E4E50" w:themeColor="accent2"/>
        </w:tcBorders>
        <w:shd w:val="clear" w:color="auto" w:fill="4E4E50" w:themeFill="accent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Caption">
    <w:name w:val="Table Caption"/>
    <w:basedOn w:val="Caption"/>
    <w:uiPriority w:val="8"/>
    <w:qFormat/>
    <w:rsid w:val="00FE7A02"/>
  </w:style>
  <w:style w:type="paragraph" w:customStyle="1" w:styleId="FigureStyle">
    <w:name w:val="Figure Style"/>
    <w:basedOn w:val="BodyText"/>
    <w:uiPriority w:val="8"/>
    <w:qFormat/>
    <w:rsid w:val="00FA7C19"/>
    <w:pPr>
      <w:spacing w:after="240" w:line="240" w:lineRule="auto"/>
    </w:pPr>
  </w:style>
  <w:style w:type="paragraph" w:styleId="TOC5">
    <w:name w:val="toc 5"/>
    <w:basedOn w:val="TOC2"/>
    <w:next w:val="Normal"/>
    <w:uiPriority w:val="39"/>
    <w:rsid w:val="00DF4D10"/>
    <w:pPr>
      <w:tabs>
        <w:tab w:val="left" w:pos="1134"/>
      </w:tabs>
      <w:ind w:left="1134" w:hanging="1134"/>
    </w:pPr>
  </w:style>
  <w:style w:type="paragraph" w:styleId="TOC6">
    <w:name w:val="toc 6"/>
    <w:basedOn w:val="TOC3"/>
    <w:next w:val="Normal"/>
    <w:uiPriority w:val="39"/>
    <w:rsid w:val="00337CA6"/>
    <w:pPr>
      <w:tabs>
        <w:tab w:val="left" w:pos="1134"/>
      </w:tabs>
      <w:ind w:left="1134" w:hanging="1134"/>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rsid w:val="00CD274F"/>
    <w:pPr>
      <w:tabs>
        <w:tab w:val="left" w:pos="425"/>
      </w:tabs>
      <w:spacing w:before="180" w:after="180"/>
      <w:ind w:left="425" w:hanging="425"/>
    </w:pPr>
    <w:rPr>
      <w:color w:val="FFFFFF" w:themeColor="background1"/>
    </w:rPr>
  </w:style>
  <w:style w:type="numbering" w:customStyle="1" w:styleId="ListNumber">
    <w:name w:val="List_Number"/>
    <w:uiPriority w:val="99"/>
    <w:rsid w:val="00D00835"/>
    <w:pPr>
      <w:numPr>
        <w:numId w:val="3"/>
      </w:numPr>
    </w:pPr>
  </w:style>
  <w:style w:type="numbering" w:customStyle="1" w:styleId="ListParagraph">
    <w:name w:val="List_Paragraph"/>
    <w:uiPriority w:val="99"/>
    <w:rsid w:val="00D00835"/>
    <w:pPr>
      <w:numPr>
        <w:numId w:val="5"/>
      </w:numPr>
    </w:pPr>
  </w:style>
  <w:style w:type="paragraph" w:styleId="Caption">
    <w:name w:val="caption"/>
    <w:basedOn w:val="Normal"/>
    <w:next w:val="Normal"/>
    <w:uiPriority w:val="8"/>
    <w:qFormat/>
    <w:rsid w:val="00A573B6"/>
    <w:pPr>
      <w:keepNext/>
      <w:tabs>
        <w:tab w:val="left" w:pos="1134"/>
      </w:tabs>
      <w:spacing w:before="240" w:after="120"/>
      <w:ind w:left="1134" w:hanging="1134"/>
    </w:pPr>
    <w:rPr>
      <w:b/>
      <w:color w:val="4E4E50" w:themeColor="accent2"/>
      <w:sz w:val="22"/>
    </w:rPr>
  </w:style>
  <w:style w:type="paragraph" w:customStyle="1" w:styleId="ListAlpha0">
    <w:name w:val="List Alpha"/>
    <w:basedOn w:val="BodyText"/>
    <w:uiPriority w:val="2"/>
    <w:qFormat/>
    <w:rsid w:val="00D00835"/>
    <w:pPr>
      <w:numPr>
        <w:numId w:val="9"/>
      </w:numPr>
    </w:pPr>
  </w:style>
  <w:style w:type="numbering" w:customStyle="1" w:styleId="ListAlpha">
    <w:name w:val="List_Alpha"/>
    <w:uiPriority w:val="99"/>
    <w:rsid w:val="00D00835"/>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2F504F"/>
    <w:pPr>
      <w:tabs>
        <w:tab w:val="left" w:pos="1134"/>
      </w:tabs>
      <w:ind w:left="1134" w:hanging="1134"/>
    </w:pPr>
    <w:rPr>
      <w:noProof/>
    </w:rPr>
  </w:style>
  <w:style w:type="table" w:customStyle="1" w:styleId="GreenGridTable">
    <w:name w:val="Green Grid Table"/>
    <w:basedOn w:val="TableGrid"/>
    <w:uiPriority w:val="99"/>
    <w:rsid w:val="001F15CE"/>
    <w:pPr>
      <w:spacing w:before="0"/>
      <w:ind w:left="113" w:right="113"/>
    </w:pPr>
    <w:tblPr>
      <w:tblStyleRowBandSize w:val="1"/>
      <w:tblStyleColBandSize w:val="1"/>
      <w:tblBorders>
        <w:top w:val="single" w:sz="4" w:space="0" w:color="B3DBAA" w:themeColor="accent3"/>
        <w:left w:val="single" w:sz="4" w:space="0" w:color="B3DBAA" w:themeColor="accent3"/>
        <w:bottom w:val="single" w:sz="4" w:space="0" w:color="B3DBAA" w:themeColor="accent3"/>
        <w:right w:val="single" w:sz="4" w:space="0" w:color="B3DBAA" w:themeColor="accent3"/>
        <w:insideH w:val="single" w:sz="4" w:space="0" w:color="B3DBAA" w:themeColor="accent3"/>
        <w:insideV w:val="single" w:sz="4" w:space="0" w:color="B3DBAA" w:themeColor="accent3"/>
      </w:tblBorders>
    </w:tblPr>
    <w:tcPr>
      <w:shd w:val="clear" w:color="auto" w:fill="auto"/>
    </w:tcPr>
    <w:tblStylePr w:type="firstRow">
      <w:rPr>
        <w:color w:val="4E4E50" w:themeColor="text2"/>
      </w:rPr>
      <w:tblPr/>
      <w:tcPr>
        <w:tcBorders>
          <w:top w:val="single" w:sz="4" w:space="0" w:color="B3DBAA" w:themeColor="accent3"/>
          <w:left w:val="single" w:sz="4" w:space="0" w:color="B3DBAA" w:themeColor="accent3"/>
          <w:bottom w:val="single" w:sz="4" w:space="0" w:color="B3DBAA" w:themeColor="accent3"/>
          <w:right w:val="single" w:sz="4" w:space="0" w:color="B3DBAA" w:themeColor="accent3"/>
          <w:insideH w:val="single" w:sz="4" w:space="0" w:color="B3DBAA" w:themeColor="accent3"/>
          <w:insideV w:val="single" w:sz="4" w:space="0" w:color="B3DBAA" w:themeColor="accent3"/>
        </w:tcBorders>
        <w:shd w:val="clear" w:color="auto" w:fill="B3DBAA" w:themeFill="accent3"/>
      </w:tcPr>
    </w:tblStylePr>
    <w:tblStylePr w:type="lastRow">
      <w:rPr>
        <w:b/>
      </w:rPr>
      <w:tblPr/>
      <w:tcPr>
        <w:shd w:val="clear" w:color="auto" w:fill="F2F2F2" w:themeFill="background1" w:themeFillShade="F2"/>
      </w:tcPr>
    </w:tblStylePr>
    <w:tblStylePr w:type="firstCol">
      <w:rPr>
        <w:color w:val="4E4E50" w:themeColor="text2"/>
      </w:rPr>
      <w:tblPr/>
      <w:tcPr>
        <w:tcBorders>
          <w:top w:val="single" w:sz="4" w:space="0" w:color="B3DBAA" w:themeColor="accent3"/>
          <w:left w:val="single" w:sz="4" w:space="0" w:color="B3DBAA" w:themeColor="accent3"/>
          <w:bottom w:val="single" w:sz="4" w:space="0" w:color="B3DBAA" w:themeColor="accent3"/>
          <w:right w:val="single" w:sz="4" w:space="0" w:color="B3DBAA" w:themeColor="accent3"/>
          <w:insideH w:val="single" w:sz="4" w:space="0" w:color="B3DBAA" w:themeColor="accent3"/>
          <w:insideV w:val="single" w:sz="4" w:space="0" w:color="B3DBAA" w:themeColor="accent3"/>
        </w:tcBorders>
        <w:shd w:val="clear" w:color="auto" w:fill="B3DBAA" w:themeFill="accent3"/>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ectionHeading">
    <w:name w:val="Section Heading"/>
    <w:basedOn w:val="Normal"/>
    <w:next w:val="BodyText"/>
    <w:uiPriority w:val="9"/>
    <w:qFormat/>
    <w:rsid w:val="00CD274F"/>
    <w:pPr>
      <w:tabs>
        <w:tab w:val="left" w:pos="851"/>
      </w:tabs>
      <w:spacing w:after="360"/>
    </w:pPr>
    <w:rPr>
      <w:b/>
      <w:color w:val="FFFFFF" w:themeColor="background1"/>
      <w:sz w:val="80"/>
    </w:rPr>
  </w:style>
  <w:style w:type="character" w:styleId="FollowedHyperlink">
    <w:name w:val="FollowedHyperlink"/>
    <w:basedOn w:val="DefaultParagraphFont"/>
    <w:uiPriority w:val="15"/>
    <w:rsid w:val="004709CC"/>
    <w:rPr>
      <w:color w:val="41A62A" w:themeColor="accent1"/>
      <w:u w:val="single"/>
    </w:rPr>
  </w:style>
  <w:style w:type="paragraph" w:customStyle="1" w:styleId="AppHeading1">
    <w:name w:val="App Heading 1"/>
    <w:basedOn w:val="Heading1"/>
    <w:next w:val="BodyText"/>
    <w:uiPriority w:val="9"/>
    <w:qFormat/>
    <w:rsid w:val="00CD274F"/>
    <w:pPr>
      <w:keepNext w:val="0"/>
      <w:keepLines w:val="0"/>
      <w:numPr>
        <w:numId w:val="15"/>
      </w:numPr>
    </w:pPr>
    <w:rPr>
      <w:rFonts w:asciiTheme="minorHAnsi" w:eastAsiaTheme="majorEastAsia" w:hAnsiTheme="minorHAnsi" w:cstheme="majorBidi"/>
      <w:szCs w:val="28"/>
      <w:lang w:eastAsia="en-US"/>
    </w:rPr>
  </w:style>
  <w:style w:type="paragraph" w:customStyle="1" w:styleId="AppHeading2">
    <w:name w:val="App Heading 2"/>
    <w:basedOn w:val="Heading2"/>
    <w:next w:val="BodyText"/>
    <w:uiPriority w:val="9"/>
    <w:qFormat/>
    <w:rsid w:val="00CD274F"/>
    <w:pPr>
      <w:numPr>
        <w:numId w:val="15"/>
      </w:numPr>
    </w:pPr>
    <w:rPr>
      <w:rFonts w:asciiTheme="minorHAnsi" w:eastAsiaTheme="majorEastAsia" w:hAnsiTheme="minorHAnsi" w:cstheme="majorBidi"/>
      <w:iCs w:val="0"/>
      <w:szCs w:val="26"/>
      <w:lang w:eastAsia="en-US"/>
    </w:rPr>
  </w:style>
  <w:style w:type="paragraph" w:customStyle="1" w:styleId="AppHeading3">
    <w:name w:val="App Heading 3"/>
    <w:basedOn w:val="Heading3"/>
    <w:next w:val="BodyText"/>
    <w:uiPriority w:val="9"/>
    <w:qFormat/>
    <w:rsid w:val="00CD274F"/>
    <w:pPr>
      <w:numPr>
        <w:numId w:val="15"/>
      </w:numPr>
    </w:pPr>
    <w:rPr>
      <w:rFonts w:asciiTheme="minorHAnsi" w:eastAsiaTheme="majorEastAsia" w:hAnsiTheme="minorHAnsi" w:cstheme="majorBidi"/>
      <w:szCs w:val="22"/>
      <w:lang w:eastAsia="en-US"/>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0A0F7A"/>
    <w:pPr>
      <w:numPr>
        <w:ilvl w:val="1"/>
      </w:numPr>
    </w:pPr>
  </w:style>
  <w:style w:type="paragraph" w:styleId="ListBullet3">
    <w:name w:val="List Bullet 3"/>
    <w:basedOn w:val="ListBullet0"/>
    <w:uiPriority w:val="19"/>
    <w:rsid w:val="000A0F7A"/>
    <w:pPr>
      <w:numPr>
        <w:ilvl w:val="2"/>
      </w:numPr>
    </w:pPr>
  </w:style>
  <w:style w:type="paragraph" w:styleId="ListBullet4">
    <w:name w:val="List Bullet 4"/>
    <w:basedOn w:val="ListBullet0"/>
    <w:uiPriority w:val="19"/>
    <w:rsid w:val="000A0F7A"/>
    <w:pPr>
      <w:numPr>
        <w:ilvl w:val="3"/>
      </w:numPr>
    </w:pPr>
  </w:style>
  <w:style w:type="paragraph" w:styleId="ListBullet5">
    <w:name w:val="List Bullet 5"/>
    <w:basedOn w:val="ListBullet0"/>
    <w:uiPriority w:val="19"/>
    <w:rsid w:val="000A0F7A"/>
    <w:pPr>
      <w:numPr>
        <w:ilvl w:val="4"/>
      </w:numPr>
    </w:pPr>
  </w:style>
  <w:style w:type="paragraph" w:customStyle="1" w:styleId="ListBullet6">
    <w:name w:val="List Bullet 6"/>
    <w:basedOn w:val="ListBullet0"/>
    <w:uiPriority w:val="19"/>
    <w:rsid w:val="000A0F7A"/>
    <w:pPr>
      <w:numPr>
        <w:ilvl w:val="5"/>
      </w:numPr>
    </w:pPr>
  </w:style>
  <w:style w:type="paragraph" w:styleId="ListNumber2">
    <w:name w:val="List Number 2"/>
    <w:aliases w:val="Numbered level 2"/>
    <w:basedOn w:val="ListNumber0"/>
    <w:uiPriority w:val="19"/>
    <w:qFormat/>
    <w:rsid w:val="004F2A3C"/>
    <w:pPr>
      <w:numPr>
        <w:ilvl w:val="1"/>
      </w:numPr>
    </w:pPr>
  </w:style>
  <w:style w:type="paragraph" w:styleId="ListNumber3">
    <w:name w:val="List Number 3"/>
    <w:aliases w:val="Numbered level 3"/>
    <w:basedOn w:val="ListNumber0"/>
    <w:uiPriority w:val="19"/>
    <w:qFormat/>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D00835"/>
    <w:pPr>
      <w:numPr>
        <w:ilvl w:val="1"/>
      </w:numPr>
    </w:pPr>
  </w:style>
  <w:style w:type="paragraph" w:customStyle="1" w:styleId="ListParagraph3">
    <w:name w:val="List Paragraph 3"/>
    <w:basedOn w:val="ListParagraph0"/>
    <w:uiPriority w:val="19"/>
    <w:rsid w:val="00D00835"/>
    <w:pPr>
      <w:numPr>
        <w:ilvl w:val="2"/>
      </w:numPr>
    </w:pPr>
  </w:style>
  <w:style w:type="paragraph" w:customStyle="1" w:styleId="ListParagraph4">
    <w:name w:val="List Paragraph 4"/>
    <w:basedOn w:val="ListParagraph0"/>
    <w:uiPriority w:val="19"/>
    <w:rsid w:val="00D00835"/>
    <w:pPr>
      <w:numPr>
        <w:ilvl w:val="3"/>
      </w:numPr>
    </w:pPr>
  </w:style>
  <w:style w:type="paragraph" w:customStyle="1" w:styleId="ListParagraph5">
    <w:name w:val="List Paragraph 5"/>
    <w:basedOn w:val="ListParagraph0"/>
    <w:uiPriority w:val="19"/>
    <w:rsid w:val="00D00835"/>
    <w:pPr>
      <w:numPr>
        <w:ilvl w:val="4"/>
      </w:numPr>
    </w:pPr>
  </w:style>
  <w:style w:type="paragraph" w:customStyle="1" w:styleId="ListParagraph6">
    <w:name w:val="List Paragraph 6"/>
    <w:basedOn w:val="ListParagraph0"/>
    <w:uiPriority w:val="19"/>
    <w:rsid w:val="00D00835"/>
    <w:pPr>
      <w:numPr>
        <w:ilvl w:val="5"/>
      </w:numPr>
    </w:pPr>
  </w:style>
  <w:style w:type="numbering" w:customStyle="1" w:styleId="ListBullet">
    <w:name w:val="List_Bullet"/>
    <w:uiPriority w:val="99"/>
    <w:rsid w:val="000A0F7A"/>
    <w:pPr>
      <w:numPr>
        <w:numId w:val="2"/>
      </w:numPr>
    </w:pPr>
  </w:style>
  <w:style w:type="numbering" w:customStyle="1" w:styleId="ListNumberedHeadings">
    <w:name w:val="List_NumberedHeadings"/>
    <w:uiPriority w:val="99"/>
    <w:rsid w:val="001F15CE"/>
    <w:pPr>
      <w:numPr>
        <w:numId w:val="4"/>
      </w:numPr>
    </w:pPr>
  </w:style>
  <w:style w:type="numbering" w:customStyle="1" w:styleId="ListTableBullet">
    <w:name w:val="List_TableBullet"/>
    <w:uiPriority w:val="99"/>
    <w:rsid w:val="00DC5165"/>
    <w:pPr>
      <w:numPr>
        <w:numId w:val="6"/>
      </w:numPr>
    </w:pPr>
  </w:style>
  <w:style w:type="numbering" w:customStyle="1" w:styleId="ListTableNumber">
    <w:name w:val="List_TableNumber"/>
    <w:uiPriority w:val="99"/>
    <w:rsid w:val="00DC5165"/>
    <w:pPr>
      <w:numPr>
        <w:numId w:val="7"/>
      </w:numPr>
    </w:pPr>
  </w:style>
  <w:style w:type="paragraph" w:customStyle="1" w:styleId="TableBullet2">
    <w:name w:val="Table Bullet 2"/>
    <w:basedOn w:val="TableBullet"/>
    <w:uiPriority w:val="19"/>
    <w:rsid w:val="00DC5165"/>
    <w:pPr>
      <w:numPr>
        <w:ilvl w:val="1"/>
      </w:numPr>
    </w:pPr>
  </w:style>
  <w:style w:type="paragraph" w:customStyle="1" w:styleId="TableNumber2">
    <w:name w:val="Table Number 2"/>
    <w:basedOn w:val="TableNumber"/>
    <w:uiPriority w:val="19"/>
    <w:rsid w:val="00DC5165"/>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numbering" w:customStyle="1" w:styleId="ListAppHeadings">
    <w:name w:val="List_AppHeadings"/>
    <w:uiPriority w:val="99"/>
    <w:rsid w:val="00CD274F"/>
    <w:pPr>
      <w:numPr>
        <w:numId w:val="14"/>
      </w:numPr>
    </w:pPr>
  </w:style>
  <w:style w:type="paragraph" w:customStyle="1" w:styleId="BreakoutText">
    <w:name w:val="Breakout Text"/>
    <w:basedOn w:val="Normal"/>
    <w:uiPriority w:val="6"/>
    <w:qFormat/>
    <w:rsid w:val="00425C39"/>
    <w:pPr>
      <w:spacing w:line="260" w:lineRule="atLeast"/>
    </w:pPr>
  </w:style>
  <w:style w:type="paragraph" w:customStyle="1" w:styleId="BreakOutBullets">
    <w:name w:val="Break Out Bullets"/>
    <w:basedOn w:val="Normal"/>
    <w:uiPriority w:val="7"/>
    <w:qFormat/>
    <w:rsid w:val="00650A8A"/>
    <w:pPr>
      <w:numPr>
        <w:numId w:val="16"/>
      </w:numPr>
      <w:spacing w:before="60" w:line="260" w:lineRule="atLeast"/>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4F2DA1"/>
    <w:pPr>
      <w:spacing w:before="0" w:after="0"/>
    </w:pPr>
    <w:tblPr>
      <w:tblCellMar>
        <w:left w:w="0" w:type="dxa"/>
        <w:right w:w="0" w:type="dxa"/>
      </w:tblCellMar>
    </w:tblPr>
  </w:style>
  <w:style w:type="paragraph" w:customStyle="1" w:styleId="GreenText">
    <w:name w:val="Green Text"/>
    <w:basedOn w:val="BodyText"/>
    <w:uiPriority w:val="5"/>
    <w:qFormat/>
    <w:rsid w:val="00FC7933"/>
    <w:rPr>
      <w:color w:val="41A62A" w:themeColor="accent1"/>
    </w:rPr>
  </w:style>
  <w:style w:type="paragraph" w:customStyle="1" w:styleId="TOCHeading2">
    <w:name w:val="TOC Heading 2"/>
    <w:basedOn w:val="Normal"/>
    <w:next w:val="Normal"/>
    <w:uiPriority w:val="39"/>
    <w:rsid w:val="00DF4D10"/>
    <w:pPr>
      <w:spacing w:before="320" w:after="120"/>
    </w:pPr>
    <w:rPr>
      <w:b/>
      <w:caps/>
      <w:color w:val="41A62A" w:themeColor="accent1"/>
      <w:sz w:val="19"/>
    </w:rPr>
  </w:style>
  <w:style w:type="table" w:customStyle="1" w:styleId="OrangeLinedTable">
    <w:name w:val="Orange Lined Table"/>
    <w:basedOn w:val="TableGrid"/>
    <w:uiPriority w:val="99"/>
    <w:rsid w:val="00F9006B"/>
    <w:pPr>
      <w:spacing w:before="0"/>
    </w:pPr>
    <w:tblPr>
      <w:tblStyleRowBandSize w:val="1"/>
      <w:tblStyleColBandSize w:val="1"/>
      <w:tblBorders>
        <w:top w:val="single" w:sz="4" w:space="0" w:color="F27731" w:themeColor="accent5"/>
        <w:left w:val="none" w:sz="0" w:space="0" w:color="auto"/>
        <w:bottom w:val="single" w:sz="4" w:space="0" w:color="F27731" w:themeColor="accent5"/>
        <w:right w:val="none" w:sz="0" w:space="0" w:color="auto"/>
        <w:insideH w:val="single" w:sz="4" w:space="0" w:color="F27731" w:themeColor="accent5"/>
        <w:insideV w:val="none" w:sz="0" w:space="0" w:color="auto"/>
      </w:tblBorders>
    </w:tblPr>
    <w:tblStylePr w:type="firstRow">
      <w:rPr>
        <w:color w:val="FFFFFF" w:themeColor="background1"/>
      </w:rPr>
      <w:tblPr/>
      <w:tcPr>
        <w:shd w:val="clear" w:color="auto" w:fill="F27731" w:themeFill="accent5"/>
      </w:tcPr>
    </w:tblStylePr>
    <w:tblStylePr w:type="lastRow">
      <w:rPr>
        <w:b/>
        <w:color w:val="4E4E50" w:themeColor="accent2"/>
      </w:rPr>
      <w:tblPr/>
      <w:tcPr>
        <w:shd w:val="clear" w:color="auto" w:fill="F2F2F2" w:themeFill="background1" w:themeFillShade="F2"/>
      </w:tcPr>
    </w:tblStylePr>
    <w:tblStylePr w:type="firstCol">
      <w:rPr>
        <w:color w:val="FFFFFF" w:themeColor="background1"/>
      </w:rPr>
      <w:tblPr/>
      <w:tcPr>
        <w:shd w:val="clear" w:color="auto" w:fill="F27731" w:themeFill="accent5"/>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BreakOutBullets2">
    <w:name w:val="Break Out Bullets 2"/>
    <w:basedOn w:val="BreakOutBullets"/>
    <w:uiPriority w:val="19"/>
    <w:rsid w:val="0073133D"/>
    <w:pPr>
      <w:numPr>
        <w:ilvl w:val="1"/>
      </w:numPr>
    </w:pPr>
  </w:style>
  <w:style w:type="numbering" w:customStyle="1" w:styleId="ListBreakOut">
    <w:name w:val="List_BreakOut"/>
    <w:uiPriority w:val="99"/>
    <w:rsid w:val="0073133D"/>
    <w:pPr>
      <w:numPr>
        <w:numId w:val="16"/>
      </w:numPr>
    </w:pPr>
  </w:style>
  <w:style w:type="paragraph" w:customStyle="1" w:styleId="CoverDetails">
    <w:name w:val="Cover Details"/>
    <w:basedOn w:val="BodyText"/>
    <w:uiPriority w:val="11"/>
    <w:qFormat/>
    <w:rsid w:val="000D229E"/>
    <w:pPr>
      <w:framePr w:hSpace="181" w:wrap="around" w:hAnchor="margin" w:yAlign="bottom"/>
      <w:spacing w:before="60" w:after="60"/>
      <w:suppressOverlap/>
    </w:pPr>
    <w:rPr>
      <w:sz w:val="24"/>
    </w:rPr>
  </w:style>
  <w:style w:type="paragraph" w:customStyle="1" w:styleId="TitleGreen">
    <w:name w:val="Title Green"/>
    <w:basedOn w:val="Title"/>
    <w:uiPriority w:val="9"/>
    <w:qFormat/>
    <w:rsid w:val="00877C46"/>
    <w:pPr>
      <w:framePr w:wrap="around" w:vAnchor="page" w:hAnchor="text" w:y="11908"/>
    </w:pPr>
    <w:rPr>
      <w:color w:val="41A62A" w:themeColor="accent1"/>
    </w:rPr>
  </w:style>
  <w:style w:type="paragraph" w:customStyle="1" w:styleId="InsideCoverText">
    <w:name w:val="Inside Cover Text"/>
    <w:basedOn w:val="Normal"/>
    <w:uiPriority w:val="11"/>
    <w:rsid w:val="00D2203B"/>
    <w:pPr>
      <w:framePr w:hSpace="181" w:wrap="around" w:hAnchor="margin" w:yAlign="bottom"/>
      <w:spacing w:before="120" w:after="120"/>
      <w:suppressOverlap/>
    </w:pPr>
    <w:rPr>
      <w:color w:val="4E4E50" w:themeColor="text2"/>
    </w:rPr>
  </w:style>
  <w:style w:type="character" w:customStyle="1" w:styleId="TableTextChar">
    <w:name w:val="Table Text Char"/>
    <w:link w:val="TableText"/>
    <w:uiPriority w:val="3"/>
    <w:rsid w:val="006E29E8"/>
    <w:rPr>
      <w:color w:val="4E4E50" w:themeColor="text2"/>
      <w:sz w:val="20"/>
    </w:rPr>
  </w:style>
  <w:style w:type="character" w:customStyle="1" w:styleId="8ptgreen">
    <w:name w:val="8pt green"/>
    <w:uiPriority w:val="99"/>
    <w:rsid w:val="00D2203B"/>
    <w:rPr>
      <w:color w:val="41A62A" w:themeColor="accent1"/>
      <w:sz w:val="16"/>
      <w:szCs w:val="16"/>
    </w:rPr>
  </w:style>
  <w:style w:type="paragraph" w:customStyle="1" w:styleId="InsideCoverHeading">
    <w:name w:val="Inside Cover Heading"/>
    <w:basedOn w:val="InsideCoverText"/>
    <w:uiPriority w:val="11"/>
    <w:rsid w:val="00D2203B"/>
    <w:pPr>
      <w:framePr w:wrap="around"/>
    </w:pPr>
    <w:rPr>
      <w:b/>
      <w:color w:val="41A62A" w:themeColor="accent1"/>
    </w:rPr>
  </w:style>
  <w:style w:type="character" w:customStyle="1" w:styleId="UnresolvedMention1">
    <w:name w:val="Unresolved Mention1"/>
    <w:basedOn w:val="DefaultParagraphFont"/>
    <w:uiPriority w:val="99"/>
    <w:semiHidden/>
    <w:unhideWhenUsed/>
    <w:rsid w:val="00C56BB2"/>
    <w:rPr>
      <w:color w:val="808080"/>
      <w:shd w:val="clear" w:color="auto" w:fill="E6E6E6"/>
    </w:rPr>
  </w:style>
  <w:style w:type="paragraph" w:customStyle="1" w:styleId="TableHeadingWhite">
    <w:name w:val="Table Heading White"/>
    <w:basedOn w:val="TableHeadingGrey"/>
    <w:uiPriority w:val="3"/>
    <w:qFormat/>
    <w:rsid w:val="00DB37F4"/>
    <w:rPr>
      <w:color w:val="FFFFFF" w:themeColor="background1"/>
    </w:rPr>
  </w:style>
  <w:style w:type="paragraph" w:customStyle="1" w:styleId="BreakOutText0">
    <w:name w:val="Break Out Text"/>
    <w:basedOn w:val="Normal"/>
    <w:uiPriority w:val="6"/>
    <w:qFormat/>
    <w:rsid w:val="00650A8A"/>
    <w:pPr>
      <w:spacing w:line="260" w:lineRule="atLeast"/>
    </w:pPr>
  </w:style>
  <w:style w:type="paragraph" w:customStyle="1" w:styleId="TableHeadingGrey">
    <w:name w:val="Table Heading Grey"/>
    <w:basedOn w:val="Normal"/>
    <w:uiPriority w:val="3"/>
    <w:qFormat/>
    <w:rsid w:val="00DB37F4"/>
    <w:pPr>
      <w:spacing w:before="80" w:after="80"/>
      <w:ind w:left="113" w:right="113"/>
    </w:pPr>
    <w:rPr>
      <w:b/>
      <w:color w:val="4E4E50" w:themeColor="text2"/>
    </w:rPr>
  </w:style>
  <w:style w:type="table" w:customStyle="1" w:styleId="GreyFullShadedTable">
    <w:name w:val="Grey Full Shaded Table"/>
    <w:basedOn w:val="TableNormal"/>
    <w:uiPriority w:val="99"/>
    <w:rsid w:val="009D3F15"/>
    <w:pPr>
      <w:spacing w:before="0" w:after="0"/>
    </w:pPr>
    <w:tblPr>
      <w:tblBorders>
        <w:insideH w:val="single" w:sz="4" w:space="0" w:color="FFFFFF" w:themeColor="background1"/>
        <w:insideV w:val="single" w:sz="4" w:space="0" w:color="FFFFFF" w:themeColor="background1"/>
      </w:tblBorders>
    </w:tblPr>
    <w:tcPr>
      <w:shd w:val="clear" w:color="auto" w:fill="F2F2F2" w:themeFill="background2"/>
    </w:tcPr>
    <w:tblStylePr w:type="firstRow">
      <w:rPr>
        <w:color w:val="FFFFFF" w:themeColor="background1"/>
      </w:rPr>
      <w:tblPr/>
      <w:tcPr>
        <w:shd w:val="clear" w:color="auto" w:fill="4E4E50" w:themeFill="text2"/>
      </w:tcPr>
    </w:tblStylePr>
    <w:tblStylePr w:type="firstCol">
      <w:rPr>
        <w:color w:val="FFFFFF" w:themeColor="background1"/>
      </w:rPr>
      <w:tblPr/>
      <w:tcPr>
        <w:shd w:val="clear" w:color="auto" w:fill="4E4E50" w:themeFill="text2"/>
      </w:tcPr>
    </w:tblStylePr>
  </w:style>
  <w:style w:type="numbering" w:customStyle="1" w:styleId="ListTableAlpha">
    <w:name w:val="List_TableAlpha"/>
    <w:uiPriority w:val="99"/>
    <w:rsid w:val="00F9006B"/>
    <w:pPr>
      <w:numPr>
        <w:numId w:val="18"/>
      </w:numPr>
    </w:pPr>
  </w:style>
  <w:style w:type="paragraph" w:customStyle="1" w:styleId="TableAlpha">
    <w:name w:val="Table Alpha"/>
    <w:basedOn w:val="TableText"/>
    <w:uiPriority w:val="4"/>
    <w:qFormat/>
    <w:rsid w:val="00F9006B"/>
    <w:pPr>
      <w:numPr>
        <w:numId w:val="19"/>
      </w:numPr>
    </w:pPr>
  </w:style>
  <w:style w:type="paragraph" w:customStyle="1" w:styleId="TableAlpha2">
    <w:name w:val="Table Alpha 2"/>
    <w:basedOn w:val="TableAlpha"/>
    <w:uiPriority w:val="24"/>
    <w:qFormat/>
    <w:rsid w:val="00F9006B"/>
    <w:pPr>
      <w:numPr>
        <w:ilvl w:val="1"/>
      </w:numPr>
    </w:pPr>
  </w:style>
  <w:style w:type="character" w:styleId="CommentReference">
    <w:name w:val="annotation reference"/>
    <w:basedOn w:val="DefaultParagraphFont"/>
    <w:uiPriority w:val="99"/>
    <w:semiHidden/>
    <w:rsid w:val="00D80B88"/>
    <w:rPr>
      <w:sz w:val="16"/>
      <w:szCs w:val="16"/>
    </w:rPr>
  </w:style>
  <w:style w:type="paragraph" w:styleId="CommentText">
    <w:name w:val="annotation text"/>
    <w:basedOn w:val="Normal"/>
    <w:link w:val="CommentTextChar"/>
    <w:uiPriority w:val="99"/>
    <w:semiHidden/>
    <w:rsid w:val="00D80B88"/>
    <w:rPr>
      <w:szCs w:val="20"/>
    </w:rPr>
  </w:style>
  <w:style w:type="character" w:customStyle="1" w:styleId="CommentTextChar">
    <w:name w:val="Comment Text Char"/>
    <w:basedOn w:val="DefaultParagraphFont"/>
    <w:link w:val="CommentText"/>
    <w:uiPriority w:val="99"/>
    <w:semiHidden/>
    <w:rsid w:val="00D80B88"/>
    <w:rPr>
      <w:sz w:val="20"/>
      <w:szCs w:val="20"/>
    </w:rPr>
  </w:style>
  <w:style w:type="paragraph" w:styleId="CommentSubject">
    <w:name w:val="annotation subject"/>
    <w:basedOn w:val="CommentText"/>
    <w:next w:val="CommentText"/>
    <w:link w:val="CommentSubjectChar"/>
    <w:uiPriority w:val="99"/>
    <w:semiHidden/>
    <w:rsid w:val="00D80B88"/>
    <w:rPr>
      <w:b/>
      <w:bCs/>
    </w:rPr>
  </w:style>
  <w:style w:type="character" w:customStyle="1" w:styleId="CommentSubjectChar">
    <w:name w:val="Comment Subject Char"/>
    <w:basedOn w:val="CommentTextChar"/>
    <w:link w:val="CommentSubject"/>
    <w:uiPriority w:val="99"/>
    <w:semiHidden/>
    <w:rsid w:val="00D80B88"/>
    <w:rPr>
      <w:b/>
      <w:bCs/>
      <w:sz w:val="20"/>
      <w:szCs w:val="20"/>
    </w:rPr>
  </w:style>
  <w:style w:type="paragraph" w:customStyle="1" w:styleId="Default">
    <w:name w:val="Default"/>
    <w:rsid w:val="007F3A3E"/>
    <w:pPr>
      <w:autoSpaceDE w:val="0"/>
      <w:autoSpaceDN w:val="0"/>
      <w:adjustRightInd w:val="0"/>
      <w:spacing w:before="0" w:after="0"/>
    </w:pPr>
    <w:rPr>
      <w:rFonts w:ascii="Arial" w:hAnsi="Arial" w:cs="Arial"/>
      <w:color w:val="000000"/>
      <w:sz w:val="24"/>
      <w:szCs w:val="24"/>
    </w:rPr>
  </w:style>
  <w:style w:type="paragraph" w:customStyle="1" w:styleId="293Controls">
    <w:name w:val="2.9.3 Controls"/>
    <w:basedOn w:val="TableHeadingGrey"/>
    <w:rsid w:val="00D6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2725">
      <w:bodyDiv w:val="1"/>
      <w:marLeft w:val="0"/>
      <w:marRight w:val="0"/>
      <w:marTop w:val="0"/>
      <w:marBottom w:val="0"/>
      <w:divBdr>
        <w:top w:val="none" w:sz="0" w:space="0" w:color="auto"/>
        <w:left w:val="none" w:sz="0" w:space="0" w:color="auto"/>
        <w:bottom w:val="none" w:sz="0" w:space="0" w:color="auto"/>
        <w:right w:val="none" w:sz="0" w:space="0" w:color="auto"/>
      </w:divBdr>
    </w:div>
    <w:div w:id="9974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qprc.nsw.gov.au/Building-Development/Planning-Zoning/Planning-controls" TargetMode="External"/></Relationships>
</file>

<file path=word/theme/theme1.xml><?xml version="1.0" encoding="utf-8"?>
<a:theme xmlns:a="http://schemas.openxmlformats.org/drawingml/2006/main" name="Office Theme">
  <a:themeElements>
    <a:clrScheme name="Elton">
      <a:dk1>
        <a:sysClr val="windowText" lastClr="000000"/>
      </a:dk1>
      <a:lt1>
        <a:sysClr val="window" lastClr="FFFFFF"/>
      </a:lt1>
      <a:dk2>
        <a:srgbClr val="4E4E50"/>
      </a:dk2>
      <a:lt2>
        <a:srgbClr val="F2F2F2"/>
      </a:lt2>
      <a:accent1>
        <a:srgbClr val="41A62A"/>
      </a:accent1>
      <a:accent2>
        <a:srgbClr val="4E4E50"/>
      </a:accent2>
      <a:accent3>
        <a:srgbClr val="B3DBAA"/>
      </a:accent3>
      <a:accent4>
        <a:srgbClr val="D9EDD4"/>
      </a:accent4>
      <a:accent5>
        <a:srgbClr val="F27731"/>
      </a:accent5>
      <a:accent6>
        <a:srgbClr val="FDE6DE"/>
      </a:accent6>
      <a:hlink>
        <a:srgbClr val="41A62A"/>
      </a:hlink>
      <a:folHlink>
        <a:srgbClr val="41A62A"/>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FE01DD-F19F-4701-A18A-97A8D5A8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14458</Words>
  <Characters>82417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Butcher;Claire Adams</dc:creator>
  <cp:keywords/>
  <dc:description/>
  <cp:lastModifiedBy>Densley, Liz</cp:lastModifiedBy>
  <cp:revision>3</cp:revision>
  <cp:lastPrinted>2016-10-21T02:15:00Z</cp:lastPrinted>
  <dcterms:created xsi:type="dcterms:W3CDTF">2020-09-07T07:44:00Z</dcterms:created>
  <dcterms:modified xsi:type="dcterms:W3CDTF">2020-09-07T07:54:00Z</dcterms:modified>
</cp:coreProperties>
</file>